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Style w:val="Grigliatabella"/>
        <w:tblW w:w="93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D9E2F3" w:themeFill="accent5" w:themeFillTint="33"/>
        <w:tblLook w:val="04A0" w:firstRow="1" w:lastRow="0" w:firstColumn="1" w:lastColumn="0" w:noHBand="0" w:noVBand="1"/>
      </w:tblPr>
      <w:tblGrid>
        <w:gridCol w:w="3617"/>
        <w:gridCol w:w="5773"/>
      </w:tblGrid>
      <w:tr w:rsidRPr="005E48B6" w:rsidR="00CF6ADA" w:rsidTr="06A62A31" w14:paraId="242509D2" w14:textId="77777777">
        <w:trPr>
          <w:jc w:val="center"/>
        </w:trPr>
        <w:tc>
          <w:tcPr>
            <w:tcW w:w="2550" w:type="dxa"/>
            <w:shd w:val="clear" w:color="auto" w:fill="DEEAF6" w:themeFill="accent1" w:themeFillTint="33"/>
            <w:tcMar/>
            <w:vAlign w:val="center"/>
          </w:tcPr>
          <w:p w:rsidRPr="005E48B6" w:rsidR="00CF6ADA" w:rsidP="003C00E7" w:rsidRDefault="000C6161" w14:paraId="66091098" w14:textId="77777777">
            <w:pPr>
              <w:spacing w:before="240" w:after="120" w:line="216" w:lineRule="auto"/>
              <w:mirrorIndents/>
              <w:jc w:val="center"/>
              <w:rPr>
                <w:rFonts w:ascii="Segoe UI" w:hAnsi="Segoe UI" w:cs="Segoe UI"/>
                <w:b/>
                <w:sz w:val="24"/>
                <w:szCs w:val="24"/>
              </w:rPr>
            </w:pPr>
            <w:r w:rsidR="000C6161">
              <w:drawing>
                <wp:inline wp14:editId="06A62A31" wp14:anchorId="040DDB3E">
                  <wp:extent cx="2160000" cy="730909"/>
                  <wp:effectExtent l="0" t="0" r="0" b="0"/>
                  <wp:docPr id="2" name="Immagine 2" descr="C:\Users\dovico\Desktop\Pacchetto logo formato png\marchio_unipi_orizz_pant541.png" title=""/>
                  <wp:cNvGraphicFramePr>
                    <a:graphicFrameLocks noChangeAspect="1"/>
                  </wp:cNvGraphicFramePr>
                  <a:graphic>
                    <a:graphicData uri="http://schemas.openxmlformats.org/drawingml/2006/picture">
                      <pic:pic>
                        <pic:nvPicPr>
                          <pic:cNvPr id="0" name="Immagine 2"/>
                          <pic:cNvPicPr/>
                        </pic:nvPicPr>
                        <pic:blipFill>
                          <a:blip r:embed="R548649505054454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60000" cy="730909"/>
                          </a:xfrm>
                          <a:prstGeom prst="rect">
                            <a:avLst/>
                          </a:prstGeom>
                        </pic:spPr>
                      </pic:pic>
                    </a:graphicData>
                  </a:graphic>
                </wp:inline>
              </w:drawing>
            </w:r>
          </w:p>
        </w:tc>
        <w:tc>
          <w:tcPr>
            <w:tcW w:w="6840" w:type="dxa"/>
            <w:shd w:val="clear" w:color="auto" w:fill="DEEAF6" w:themeFill="accent1" w:themeFillTint="33"/>
            <w:tcMar/>
            <w:vAlign w:val="center"/>
          </w:tcPr>
          <w:p w:rsidR="00C53D16" w:rsidP="00C53D16" w:rsidRDefault="00C53D16" w14:paraId="64BB1D83" w14:textId="3E3697D8">
            <w:pPr>
              <w:spacing w:line="216" w:lineRule="auto"/>
              <w:mirrorIndents/>
              <w:jc w:val="center"/>
              <w:rPr>
                <w:rFonts w:ascii="Segoe UI" w:hAnsi="Segoe UI" w:cs="Segoe UI"/>
                <w:b/>
                <w:sz w:val="24"/>
                <w:szCs w:val="28"/>
              </w:rPr>
            </w:pPr>
            <w:r>
              <w:rPr>
                <w:rFonts w:ascii="Segoe UI" w:hAnsi="Segoe UI" w:cs="Segoe UI"/>
                <w:b/>
                <w:sz w:val="24"/>
                <w:szCs w:val="28"/>
              </w:rPr>
              <w:t>Modello di riepilogo</w:t>
            </w:r>
          </w:p>
          <w:p w:rsidR="00C53D16" w:rsidP="00C53D16" w:rsidRDefault="00C53D16" w14:paraId="79680433" w14:textId="77777777">
            <w:pPr>
              <w:spacing w:line="216" w:lineRule="auto"/>
              <w:mirrorIndents/>
              <w:jc w:val="center"/>
              <w:rPr>
                <w:rFonts w:ascii="Segoe UI" w:hAnsi="Segoe UI" w:cs="Segoe UI"/>
                <w:b/>
                <w:sz w:val="24"/>
                <w:szCs w:val="28"/>
              </w:rPr>
            </w:pPr>
            <w:r>
              <w:rPr>
                <w:rFonts w:ascii="Segoe UI" w:hAnsi="Segoe UI" w:cs="Segoe UI"/>
                <w:b/>
                <w:sz w:val="24"/>
                <w:szCs w:val="28"/>
              </w:rPr>
              <w:t xml:space="preserve">del </w:t>
            </w:r>
            <w:r w:rsidRPr="005E48B6">
              <w:rPr>
                <w:rFonts w:ascii="Segoe UI" w:hAnsi="Segoe UI" w:cs="Segoe UI"/>
                <w:b/>
                <w:sz w:val="24"/>
                <w:szCs w:val="28"/>
              </w:rPr>
              <w:t>Monitoraggio Annuale</w:t>
            </w:r>
          </w:p>
          <w:p w:rsidRPr="005E48B6" w:rsidR="000678F4" w:rsidP="008D4F19" w:rsidRDefault="00C53D16" w14:paraId="01FEB9A8" w14:textId="26762206">
            <w:pPr>
              <w:spacing w:line="216" w:lineRule="auto"/>
              <w:mirrorIndents/>
              <w:jc w:val="right"/>
              <w:rPr>
                <w:rFonts w:ascii="Segoe UI" w:hAnsi="Segoe UI" w:cs="Segoe UI"/>
                <w:b/>
                <w:sz w:val="24"/>
                <w:szCs w:val="28"/>
              </w:rPr>
            </w:pPr>
            <w:r w:rsidRPr="00F431D6">
              <w:rPr>
                <w:rFonts w:ascii="Segoe UI" w:hAnsi="Segoe UI" w:cs="Segoe UI"/>
                <w:szCs w:val="28"/>
              </w:rPr>
              <w:t>a cura del Gruppo di Riesame</w:t>
            </w:r>
          </w:p>
        </w:tc>
      </w:tr>
    </w:tbl>
    <w:p w:rsidRPr="00514117" w:rsidR="00CF6ADA" w:rsidP="00CE0FAD" w:rsidRDefault="00CF6ADA" w14:paraId="3BF68213" w14:textId="77777777">
      <w:pPr>
        <w:mirrorIndents/>
        <w:rPr>
          <w:rFonts w:ascii="Segoe UI" w:hAnsi="Segoe UI" w:cs="Segoe UI"/>
        </w:rPr>
      </w:pPr>
    </w:p>
    <w:tbl>
      <w:tblPr>
        <w:tblStyle w:val="Grigliatabella"/>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D9E2F3" w:themeFill="accent5" w:themeFillTint="33"/>
        <w:tblLook w:val="04A0" w:firstRow="1" w:lastRow="0" w:firstColumn="1" w:lastColumn="0" w:noHBand="0" w:noVBand="1"/>
      </w:tblPr>
      <w:tblGrid>
        <w:gridCol w:w="9392"/>
      </w:tblGrid>
      <w:tr w:rsidRPr="005E48B6" w:rsidR="00CF6ADA" w:rsidTr="00CE0FAD" w14:paraId="63EFEAC6" w14:textId="77777777">
        <w:trPr>
          <w:jc w:val="center"/>
        </w:trPr>
        <w:tc>
          <w:tcPr>
            <w:tcW w:w="9392" w:type="dxa"/>
            <w:shd w:val="clear" w:color="auto" w:fill="auto"/>
            <w:vAlign w:val="center"/>
          </w:tcPr>
          <w:p w:rsidRPr="005E48B6" w:rsidR="00CF6ADA" w:rsidP="00CE0FAD" w:rsidRDefault="00CF6ADA" w14:paraId="7AE8FA00" w14:textId="77777777">
            <w:pPr>
              <w:spacing w:after="160" w:line="259" w:lineRule="auto"/>
              <w:mirrorIndents/>
              <w:rPr>
                <w:rFonts w:ascii="Segoe UI" w:hAnsi="Segoe UI" w:cs="Segoe UI" w:eastAsiaTheme="minorHAnsi"/>
                <w:b/>
                <w:szCs w:val="22"/>
                <w:lang w:eastAsia="en-US"/>
              </w:rPr>
            </w:pPr>
            <w:r w:rsidRPr="005E48B6">
              <w:rPr>
                <w:rFonts w:ascii="Segoe UI" w:hAnsi="Segoe UI" w:cs="Segoe UI" w:eastAsiaTheme="minorHAnsi"/>
                <w:b/>
                <w:szCs w:val="22"/>
                <w:lang w:eastAsia="en-US"/>
              </w:rPr>
              <w:t>Denominazione del Corso di Studio:</w:t>
            </w:r>
            <w:r w:rsidR="00361826">
              <w:rPr>
                <w:rFonts w:cs="Segoe UI" w:asciiTheme="minorHAnsi" w:hAnsiTheme="minorHAnsi" w:eastAsiaTheme="minorHAnsi"/>
                <w:b/>
                <w:sz w:val="22"/>
                <w:szCs w:val="22"/>
                <w:lang w:eastAsia="en-US"/>
              </w:rPr>
              <w:t xml:space="preserve"> Laurea a ciclo unico in Giurisprudenza</w:t>
            </w:r>
          </w:p>
          <w:p w:rsidRPr="005B388F" w:rsidR="00CF6ADA" w:rsidP="005B388F" w:rsidRDefault="00CF6ADA" w14:paraId="56CBCFCE" w14:textId="77777777">
            <w:pPr>
              <w:spacing w:after="160" w:line="259" w:lineRule="auto"/>
              <w:mirrorIndents/>
              <w:rPr>
                <w:rFonts w:ascii="Segoe UI" w:hAnsi="Segoe UI" w:cs="Segoe UI" w:eastAsiaTheme="minorHAnsi"/>
                <w:b/>
                <w:szCs w:val="22"/>
                <w:lang w:eastAsia="en-US"/>
              </w:rPr>
            </w:pPr>
            <w:r w:rsidRPr="005E48B6">
              <w:rPr>
                <w:rFonts w:ascii="Segoe UI" w:hAnsi="Segoe UI" w:cs="Segoe UI" w:eastAsiaTheme="minorHAnsi"/>
                <w:b/>
                <w:szCs w:val="22"/>
                <w:lang w:eastAsia="en-US"/>
              </w:rPr>
              <w:t>Classe</w:t>
            </w:r>
            <w:r w:rsidR="001945D2">
              <w:rPr>
                <w:rFonts w:ascii="Segoe UI" w:hAnsi="Segoe UI" w:cs="Segoe UI" w:eastAsiaTheme="minorHAnsi"/>
                <w:b/>
                <w:szCs w:val="22"/>
                <w:lang w:eastAsia="en-US"/>
              </w:rPr>
              <w:t xml:space="preserve"> di Laurea</w:t>
            </w:r>
            <w:r w:rsidRPr="005E48B6">
              <w:rPr>
                <w:rFonts w:ascii="Segoe UI" w:hAnsi="Segoe UI" w:cs="Segoe UI" w:eastAsiaTheme="minorHAnsi"/>
                <w:b/>
                <w:szCs w:val="22"/>
                <w:lang w:eastAsia="en-US"/>
              </w:rPr>
              <w:t>:</w:t>
            </w:r>
            <w:r w:rsidR="00361826">
              <w:rPr>
                <w:rFonts w:ascii="Segoe UI" w:hAnsi="Segoe UI" w:cs="Segoe UI" w:eastAsiaTheme="minorHAnsi"/>
                <w:b/>
                <w:szCs w:val="22"/>
                <w:lang w:eastAsia="en-US"/>
              </w:rPr>
              <w:t xml:space="preserve"> LMG-01</w:t>
            </w:r>
          </w:p>
        </w:tc>
      </w:tr>
    </w:tbl>
    <w:p w:rsidRPr="00514117" w:rsidR="00CF6ADA" w:rsidP="00CE0FAD" w:rsidRDefault="00CF6ADA" w14:paraId="060E9F13" w14:textId="77777777">
      <w:pPr>
        <w:mirrorIndents/>
        <w:jc w:val="both"/>
        <w:rPr>
          <w:rFonts w:ascii="Segoe UI" w:hAnsi="Segoe UI" w:cs="Segoe UI"/>
          <w:b/>
          <w:smallCaps/>
        </w:rPr>
      </w:pPr>
    </w:p>
    <w:tbl>
      <w:tblPr>
        <w:tblStyle w:val="Grigliatabella"/>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D9E2F3" w:themeFill="accent5" w:themeFillTint="33"/>
        <w:tblLook w:val="04A0" w:firstRow="1" w:lastRow="0" w:firstColumn="1" w:lastColumn="0" w:noHBand="0" w:noVBand="1"/>
      </w:tblPr>
      <w:tblGrid>
        <w:gridCol w:w="9392"/>
      </w:tblGrid>
      <w:tr w:rsidRPr="005E48B6" w:rsidR="00CF6ADA" w:rsidTr="06A62A31" w14:paraId="4E941DFA" w14:textId="77777777">
        <w:trPr>
          <w:jc w:val="center"/>
        </w:trPr>
        <w:tc>
          <w:tcPr>
            <w:tcW w:w="9392" w:type="dxa"/>
            <w:shd w:val="clear" w:color="auto" w:fill="auto"/>
            <w:tcMar/>
            <w:vAlign w:val="center"/>
          </w:tcPr>
          <w:p w:rsidRPr="005E48B6" w:rsidR="00CF6ADA" w:rsidP="00CE0FAD" w:rsidRDefault="00CF6ADA" w14:paraId="79F95A04" w14:textId="77777777">
            <w:pPr>
              <w:spacing w:after="160" w:line="259" w:lineRule="auto"/>
              <w:mirrorIndents/>
              <w:rPr>
                <w:rFonts w:ascii="Segoe UI" w:hAnsi="Segoe UI" w:cs="Segoe UI"/>
                <w:szCs w:val="22"/>
              </w:rPr>
            </w:pPr>
            <w:r w:rsidRPr="005E48B6">
              <w:rPr>
                <w:rFonts w:ascii="Segoe UI" w:hAnsi="Segoe UI" w:cs="Segoe UI"/>
                <w:b/>
                <w:szCs w:val="22"/>
              </w:rPr>
              <w:t xml:space="preserve">Gruppo di Riesame </w:t>
            </w:r>
          </w:p>
          <w:p w:rsidRPr="00361826" w:rsidR="00361826" w:rsidP="00361826" w:rsidRDefault="00361826" w14:paraId="6DFF3B8B" w14:textId="77777777">
            <w:pPr>
              <w:spacing w:after="160" w:line="259" w:lineRule="auto"/>
              <w:mirrorIndents/>
              <w:rPr>
                <w:rFonts w:cs="Segoe UI" w:asciiTheme="minorHAnsi" w:hAnsiTheme="minorHAnsi"/>
                <w:i/>
                <w:sz w:val="22"/>
                <w:szCs w:val="22"/>
              </w:rPr>
            </w:pPr>
            <w:r w:rsidRPr="00A96B02">
              <w:rPr>
                <w:rFonts w:cs="Segoe UI" w:asciiTheme="minorHAnsi" w:hAnsiTheme="minorHAnsi"/>
                <w:i/>
                <w:sz w:val="22"/>
                <w:szCs w:val="22"/>
              </w:rPr>
              <w:t>Componenti obbligatori:</w:t>
            </w:r>
          </w:p>
          <w:p w:rsidRPr="00A96B02" w:rsidR="00361826" w:rsidP="00361826" w:rsidRDefault="00361826" w14:paraId="739C3981" w14:textId="4AAB56E4">
            <w:pPr>
              <w:spacing w:after="160" w:line="259" w:lineRule="auto"/>
              <w:mirrorIndents/>
              <w:rPr>
                <w:rFonts w:cs="Segoe UI" w:asciiTheme="minorHAnsi" w:hAnsiTheme="minorHAnsi"/>
                <w:sz w:val="22"/>
                <w:szCs w:val="22"/>
              </w:rPr>
            </w:pPr>
            <w:r w:rsidRPr="00A96B02">
              <w:rPr>
                <w:rFonts w:cs="Segoe UI" w:asciiTheme="minorHAnsi" w:hAnsiTheme="minorHAnsi"/>
                <w:noProof/>
                <w:sz w:val="22"/>
                <w:szCs w:val="22"/>
              </w:rPr>
              <w:t>Prof.</w:t>
            </w:r>
            <w:r w:rsidRPr="00A96B02">
              <w:rPr>
                <w:rFonts w:cs="Segoe UI" w:asciiTheme="minorHAnsi" w:hAnsiTheme="minorHAnsi"/>
                <w:sz w:val="22"/>
                <w:szCs w:val="22"/>
              </w:rPr>
              <w:t xml:space="preserve"> </w:t>
            </w:r>
            <w:r>
              <w:rPr>
                <w:rFonts w:cs="Segoe UI" w:asciiTheme="minorHAnsi" w:hAnsiTheme="minorHAnsi"/>
                <w:sz w:val="22"/>
                <w:szCs w:val="22"/>
                <w:lang w:val="sv-SE"/>
              </w:rPr>
              <w:t xml:space="preserve">Aldo Petrucci </w:t>
            </w:r>
            <w:r w:rsidRPr="00A96B02">
              <w:rPr>
                <w:rFonts w:cs="Segoe UI" w:asciiTheme="minorHAnsi" w:hAnsiTheme="minorHAnsi"/>
                <w:sz w:val="22"/>
                <w:szCs w:val="22"/>
              </w:rPr>
              <w:t xml:space="preserve">(Presidente del </w:t>
            </w:r>
            <w:proofErr w:type="spellStart"/>
            <w:r w:rsidRPr="00A96B02">
              <w:rPr>
                <w:rFonts w:cs="Segoe UI" w:asciiTheme="minorHAnsi" w:hAnsiTheme="minorHAnsi"/>
                <w:sz w:val="22"/>
                <w:szCs w:val="22"/>
              </w:rPr>
              <w:t>CdS</w:t>
            </w:r>
            <w:proofErr w:type="spellEnd"/>
            <w:r w:rsidRPr="00A96B02">
              <w:rPr>
                <w:rFonts w:cs="Segoe UI" w:asciiTheme="minorHAnsi" w:hAnsiTheme="minorHAnsi"/>
                <w:sz w:val="22"/>
                <w:szCs w:val="22"/>
              </w:rPr>
              <w:t xml:space="preserve">) - Responsabile del Riesame - Responsabile Assicurazione della Qualità del </w:t>
            </w:r>
            <w:proofErr w:type="spellStart"/>
            <w:r w:rsidRPr="00A96B02">
              <w:rPr>
                <w:rFonts w:cs="Segoe UI" w:asciiTheme="minorHAnsi" w:hAnsiTheme="minorHAnsi"/>
                <w:sz w:val="22"/>
                <w:szCs w:val="22"/>
              </w:rPr>
              <w:t>CdS</w:t>
            </w:r>
            <w:proofErr w:type="spellEnd"/>
          </w:p>
          <w:p w:rsidRPr="00A96B02" w:rsidR="00361826" w:rsidP="00361826" w:rsidRDefault="00361826" w14:paraId="4B570D5D" w14:textId="1EAD3A51">
            <w:pPr>
              <w:spacing w:after="160" w:line="259" w:lineRule="auto"/>
              <w:mirrorIndents/>
              <w:rPr>
                <w:rFonts w:cs="Segoe UI" w:asciiTheme="minorHAnsi" w:hAnsiTheme="minorHAnsi"/>
                <w:sz w:val="22"/>
                <w:szCs w:val="22"/>
                <w:lang w:val="sv-SE"/>
              </w:rPr>
            </w:pPr>
            <w:r>
              <w:rPr>
                <w:rFonts w:cs="Segoe UI" w:asciiTheme="minorHAnsi" w:hAnsiTheme="minorHAnsi"/>
                <w:sz w:val="22"/>
                <w:szCs w:val="22"/>
                <w:lang w:val="sv-SE"/>
              </w:rPr>
              <w:t>S</w:t>
            </w:r>
            <w:r w:rsidRPr="00A96B02">
              <w:rPr>
                <w:rFonts w:cs="Segoe UI" w:asciiTheme="minorHAnsi" w:hAnsiTheme="minorHAnsi"/>
                <w:sz w:val="22"/>
                <w:szCs w:val="22"/>
                <w:lang w:val="sv-SE"/>
              </w:rPr>
              <w:t>ig</w:t>
            </w:r>
            <w:r>
              <w:rPr>
                <w:rFonts w:cs="Segoe UI" w:asciiTheme="minorHAnsi" w:hAnsiTheme="minorHAnsi"/>
                <w:sz w:val="22"/>
                <w:szCs w:val="22"/>
                <w:lang w:val="sv-SE"/>
              </w:rPr>
              <w:t xml:space="preserve">. </w:t>
            </w:r>
            <w:r w:rsidRPr="00695AA2" w:rsidR="000B3771">
              <w:rPr>
                <w:rFonts w:cs="Segoe UI" w:asciiTheme="minorHAnsi" w:hAnsiTheme="minorHAnsi"/>
                <w:sz w:val="22"/>
                <w:szCs w:val="22"/>
                <w:lang w:val="sv-SE"/>
              </w:rPr>
              <w:t>Giovanni Corall</w:t>
            </w:r>
            <w:r w:rsidRPr="00695AA2">
              <w:rPr>
                <w:rFonts w:cs="Segoe UI" w:asciiTheme="minorHAnsi" w:hAnsiTheme="minorHAnsi"/>
                <w:sz w:val="22"/>
                <w:szCs w:val="22"/>
                <w:lang w:val="sv-SE"/>
              </w:rPr>
              <w:t>o</w:t>
            </w:r>
            <w:r w:rsidRPr="00A96B02">
              <w:rPr>
                <w:rFonts w:cs="Segoe UI" w:asciiTheme="minorHAnsi" w:hAnsiTheme="minorHAnsi"/>
                <w:sz w:val="22"/>
                <w:szCs w:val="22"/>
                <w:lang w:val="sv-SE"/>
              </w:rPr>
              <w:t xml:space="preserve"> (Rappresentante degli studenti)  </w:t>
            </w:r>
          </w:p>
          <w:p w:rsidR="00361826" w:rsidP="00361826" w:rsidRDefault="00361826" w14:paraId="65A87A3B" w14:textId="77777777">
            <w:pPr>
              <w:spacing w:after="160" w:line="259" w:lineRule="auto"/>
              <w:mirrorIndents/>
              <w:rPr>
                <w:rFonts w:cs="Segoe UI" w:asciiTheme="minorHAnsi" w:hAnsiTheme="minorHAnsi"/>
                <w:i/>
                <w:sz w:val="22"/>
                <w:szCs w:val="22"/>
                <w:lang w:val="sv-SE"/>
              </w:rPr>
            </w:pPr>
            <w:r w:rsidRPr="00A96B02">
              <w:rPr>
                <w:rFonts w:cs="Segoe UI" w:asciiTheme="minorHAnsi" w:hAnsiTheme="minorHAnsi"/>
                <w:i/>
                <w:sz w:val="22"/>
                <w:szCs w:val="22"/>
                <w:lang w:val="sv-SE"/>
              </w:rPr>
              <w:t>Altri componenti:</w:t>
            </w:r>
          </w:p>
          <w:p w:rsidRPr="00A96B02" w:rsidR="00361826" w:rsidP="00361826" w:rsidRDefault="00361826" w14:paraId="0B661449" w14:textId="77777777">
            <w:pPr>
              <w:spacing w:after="160" w:line="259" w:lineRule="auto"/>
              <w:mirrorIndents/>
              <w:rPr>
                <w:rFonts w:cs="Segoe UI" w:asciiTheme="minorHAnsi" w:hAnsiTheme="minorHAnsi"/>
                <w:i/>
                <w:sz w:val="22"/>
                <w:szCs w:val="22"/>
                <w:lang w:val="sv-SE"/>
              </w:rPr>
            </w:pPr>
            <w:r w:rsidRPr="00A96B02">
              <w:rPr>
                <w:rFonts w:cs="Segoe UI" w:asciiTheme="minorHAnsi" w:hAnsiTheme="minorHAnsi"/>
                <w:sz w:val="22"/>
                <w:szCs w:val="22"/>
                <w:lang w:val="sv-SE"/>
              </w:rPr>
              <w:t>Prof.ssa</w:t>
            </w:r>
            <w:r>
              <w:rPr>
                <w:rFonts w:cs="Segoe UI" w:asciiTheme="minorHAnsi" w:hAnsiTheme="minorHAnsi"/>
                <w:sz w:val="22"/>
                <w:szCs w:val="22"/>
                <w:lang w:val="sv-SE"/>
              </w:rPr>
              <w:t xml:space="preserve"> Brunella Bellè </w:t>
            </w:r>
            <w:r w:rsidRPr="00A96B02">
              <w:rPr>
                <w:rFonts w:cs="Segoe UI" w:asciiTheme="minorHAnsi" w:hAnsiTheme="minorHAnsi"/>
                <w:sz w:val="22"/>
                <w:szCs w:val="22"/>
              </w:rPr>
              <w:t xml:space="preserve">(Docente del </w:t>
            </w:r>
            <w:proofErr w:type="spellStart"/>
            <w:r w:rsidRPr="00A96B02">
              <w:rPr>
                <w:rFonts w:cs="Segoe UI" w:asciiTheme="minorHAnsi" w:hAnsiTheme="minorHAnsi"/>
                <w:sz w:val="22"/>
                <w:szCs w:val="22"/>
              </w:rPr>
              <w:t>CdS</w:t>
            </w:r>
            <w:proofErr w:type="spellEnd"/>
            <w:r w:rsidRPr="00A96B02">
              <w:rPr>
                <w:rFonts w:cs="Segoe UI" w:asciiTheme="minorHAnsi" w:hAnsiTheme="minorHAnsi"/>
                <w:sz w:val="22"/>
                <w:szCs w:val="22"/>
              </w:rPr>
              <w:t>)</w:t>
            </w:r>
          </w:p>
          <w:p w:rsidR="00361826" w:rsidP="00361826" w:rsidRDefault="00361826" w14:paraId="6624E8BE" w14:textId="77777777">
            <w:pPr>
              <w:spacing w:after="160" w:line="259" w:lineRule="auto"/>
              <w:mirrorIndents/>
              <w:rPr>
                <w:rFonts w:cs="Segoe UI" w:asciiTheme="minorHAnsi" w:hAnsiTheme="minorHAnsi"/>
                <w:sz w:val="22"/>
                <w:szCs w:val="22"/>
              </w:rPr>
            </w:pPr>
            <w:r w:rsidRPr="00A96B02">
              <w:rPr>
                <w:rFonts w:cs="Segoe UI" w:asciiTheme="minorHAnsi" w:hAnsiTheme="minorHAnsi"/>
                <w:sz w:val="22"/>
                <w:szCs w:val="22"/>
                <w:lang w:val="sv-SE"/>
              </w:rPr>
              <w:t xml:space="preserve">Prof.  </w:t>
            </w:r>
            <w:r>
              <w:rPr>
                <w:rFonts w:cs="Segoe UI" w:asciiTheme="minorHAnsi" w:hAnsiTheme="minorHAnsi"/>
                <w:sz w:val="22"/>
                <w:szCs w:val="22"/>
                <w:lang w:val="sv-SE"/>
              </w:rPr>
              <w:t>Andrea Landi</w:t>
            </w:r>
            <w:r w:rsidRPr="00A96B02">
              <w:rPr>
                <w:rFonts w:cs="Segoe UI" w:asciiTheme="minorHAnsi" w:hAnsiTheme="minorHAnsi"/>
                <w:sz w:val="22"/>
                <w:szCs w:val="22"/>
                <w:lang w:val="sv-SE"/>
              </w:rPr>
              <w:t xml:space="preserve"> </w:t>
            </w:r>
            <w:r w:rsidRPr="00A96B02">
              <w:rPr>
                <w:rFonts w:cs="Segoe UI" w:asciiTheme="minorHAnsi" w:hAnsiTheme="minorHAnsi"/>
                <w:sz w:val="22"/>
                <w:szCs w:val="22"/>
              </w:rPr>
              <w:t xml:space="preserve">(Docente del </w:t>
            </w:r>
            <w:proofErr w:type="spellStart"/>
            <w:r w:rsidRPr="00A96B02">
              <w:rPr>
                <w:rFonts w:cs="Segoe UI" w:asciiTheme="minorHAnsi" w:hAnsiTheme="minorHAnsi"/>
                <w:sz w:val="22"/>
                <w:szCs w:val="22"/>
              </w:rPr>
              <w:t>CdS</w:t>
            </w:r>
            <w:proofErr w:type="spellEnd"/>
            <w:r w:rsidRPr="00A96B02">
              <w:rPr>
                <w:rFonts w:cs="Segoe UI" w:asciiTheme="minorHAnsi" w:hAnsiTheme="minorHAnsi"/>
                <w:sz w:val="22"/>
                <w:szCs w:val="22"/>
              </w:rPr>
              <w:t xml:space="preserve">) </w:t>
            </w:r>
          </w:p>
          <w:p w:rsidRPr="00A96B02" w:rsidR="00361826" w:rsidP="00361826" w:rsidRDefault="00361826" w14:paraId="3101B204" w14:textId="77777777">
            <w:pPr>
              <w:spacing w:after="160" w:line="259" w:lineRule="auto"/>
              <w:mirrorIndents/>
              <w:rPr>
                <w:rFonts w:cs="Segoe UI" w:asciiTheme="minorHAnsi" w:hAnsiTheme="minorHAnsi"/>
                <w:sz w:val="22"/>
                <w:szCs w:val="22"/>
              </w:rPr>
            </w:pPr>
            <w:r>
              <w:rPr>
                <w:rFonts w:cs="Segoe UI" w:asciiTheme="minorHAnsi" w:hAnsiTheme="minorHAnsi"/>
                <w:sz w:val="22"/>
                <w:szCs w:val="22"/>
              </w:rPr>
              <w:t xml:space="preserve">Prof. Alessandro </w:t>
            </w:r>
            <w:proofErr w:type="spellStart"/>
            <w:r>
              <w:rPr>
                <w:rFonts w:cs="Segoe UI" w:asciiTheme="minorHAnsi" w:hAnsiTheme="minorHAnsi"/>
                <w:sz w:val="22"/>
                <w:szCs w:val="22"/>
              </w:rPr>
              <w:t>Cassarino</w:t>
            </w:r>
            <w:proofErr w:type="spellEnd"/>
            <w:r>
              <w:rPr>
                <w:rFonts w:cs="Segoe UI" w:asciiTheme="minorHAnsi" w:hAnsiTheme="minorHAnsi"/>
                <w:sz w:val="22"/>
                <w:szCs w:val="22"/>
              </w:rPr>
              <w:t xml:space="preserve"> </w:t>
            </w:r>
            <w:r w:rsidRPr="00A96B02">
              <w:rPr>
                <w:rFonts w:cs="Segoe UI" w:asciiTheme="minorHAnsi" w:hAnsiTheme="minorHAnsi"/>
                <w:sz w:val="22"/>
                <w:szCs w:val="22"/>
              </w:rPr>
              <w:t xml:space="preserve">(Docente del </w:t>
            </w:r>
            <w:proofErr w:type="spellStart"/>
            <w:r w:rsidRPr="00A96B02">
              <w:rPr>
                <w:rFonts w:cs="Segoe UI" w:asciiTheme="minorHAnsi" w:hAnsiTheme="minorHAnsi"/>
                <w:sz w:val="22"/>
                <w:szCs w:val="22"/>
              </w:rPr>
              <w:t>CdS</w:t>
            </w:r>
            <w:proofErr w:type="spellEnd"/>
            <w:r w:rsidRPr="00A96B02">
              <w:rPr>
                <w:rFonts w:cs="Segoe UI" w:asciiTheme="minorHAnsi" w:hAnsiTheme="minorHAnsi"/>
                <w:sz w:val="22"/>
                <w:szCs w:val="22"/>
              </w:rPr>
              <w:t>)</w:t>
            </w:r>
          </w:p>
          <w:p w:rsidRPr="00431963" w:rsidR="00CF6ADA" w:rsidP="00CE0FAD" w:rsidRDefault="00361826" w14:paraId="291719FF" w14:textId="77777777">
            <w:pPr>
              <w:spacing w:after="160" w:line="259" w:lineRule="auto"/>
              <w:mirrorIndents/>
              <w:rPr>
                <w:rFonts w:cs="Segoe UI" w:asciiTheme="minorHAnsi" w:hAnsiTheme="minorHAnsi"/>
                <w:sz w:val="22"/>
                <w:szCs w:val="22"/>
              </w:rPr>
            </w:pPr>
            <w:r w:rsidRPr="00A96B02">
              <w:rPr>
                <w:rFonts w:cs="Segoe UI" w:asciiTheme="minorHAnsi" w:hAnsiTheme="minorHAnsi"/>
                <w:noProof/>
                <w:sz w:val="22"/>
                <w:szCs w:val="22"/>
              </w:rPr>
              <w:t>Dott.ssa</w:t>
            </w:r>
            <w:r>
              <w:rPr>
                <w:rFonts w:cs="Segoe UI" w:asciiTheme="minorHAnsi" w:hAnsiTheme="minorHAnsi"/>
                <w:noProof/>
                <w:sz w:val="22"/>
                <w:szCs w:val="22"/>
              </w:rPr>
              <w:t xml:space="preserve"> Maria Pia Sanvito (</w:t>
            </w:r>
            <w:r w:rsidRPr="00A96B02">
              <w:rPr>
                <w:rFonts w:cs="Segoe UI" w:asciiTheme="minorHAnsi" w:hAnsiTheme="minorHAnsi"/>
                <w:sz w:val="22"/>
                <w:szCs w:val="22"/>
              </w:rPr>
              <w:t>Tecnico amministrativo con funzione di Re</w:t>
            </w:r>
            <w:r>
              <w:rPr>
                <w:rFonts w:cs="Segoe UI" w:asciiTheme="minorHAnsi" w:hAnsiTheme="minorHAnsi"/>
                <w:sz w:val="22"/>
                <w:szCs w:val="22"/>
              </w:rPr>
              <w:t>sponsabile dell’Unità Didattica)</w:t>
            </w:r>
          </w:p>
          <w:p w:rsidRPr="00A96B02" w:rsidR="00431963" w:rsidP="00431963" w:rsidRDefault="00431963" w14:paraId="764D1D9B" w14:textId="77777777">
            <w:pPr>
              <w:spacing w:after="160" w:line="259" w:lineRule="auto"/>
              <w:mirrorIndents/>
              <w:rPr>
                <w:rFonts w:cs="Segoe UI" w:asciiTheme="minorHAnsi" w:hAnsiTheme="minorHAnsi"/>
                <w:sz w:val="22"/>
                <w:szCs w:val="22"/>
              </w:rPr>
            </w:pPr>
            <w:r w:rsidRPr="00A96B02">
              <w:rPr>
                <w:rFonts w:cs="Segoe UI" w:asciiTheme="minorHAnsi" w:hAnsiTheme="minorHAnsi"/>
                <w:sz w:val="22"/>
                <w:szCs w:val="22"/>
              </w:rPr>
              <w:t xml:space="preserve">Il Gruppo di Riesame si è riunito, </w:t>
            </w:r>
            <w:r>
              <w:rPr>
                <w:rFonts w:cs="Segoe UI" w:asciiTheme="minorHAnsi" w:hAnsiTheme="minorHAnsi"/>
                <w:sz w:val="22"/>
                <w:szCs w:val="22"/>
              </w:rPr>
              <w:t xml:space="preserve">in via telematica, </w:t>
            </w:r>
            <w:r w:rsidRPr="00A96B02">
              <w:rPr>
                <w:rFonts w:cs="Segoe UI" w:asciiTheme="minorHAnsi" w:hAnsiTheme="minorHAnsi"/>
                <w:sz w:val="22"/>
                <w:szCs w:val="22"/>
              </w:rPr>
              <w:t>per la discussione degli indicatori riportati nei quadri di questa Scheda di Monitoraggio Annuale, operando come segue:</w:t>
            </w:r>
          </w:p>
          <w:p w:rsidRPr="00A96B02" w:rsidR="00431963" w:rsidP="00431963" w:rsidRDefault="008D4F19" w14:paraId="0775B893" w14:textId="20D4952F">
            <w:pPr>
              <w:numPr>
                <w:ilvl w:val="0"/>
                <w:numId w:val="1"/>
              </w:numPr>
              <w:spacing w:before="120" w:after="160" w:line="259" w:lineRule="auto"/>
              <w:mirrorIndents/>
              <w:rPr>
                <w:rFonts w:cs="Segoe UI" w:asciiTheme="minorHAnsi" w:hAnsiTheme="minorHAnsi"/>
                <w:sz w:val="22"/>
                <w:szCs w:val="22"/>
              </w:rPr>
            </w:pPr>
            <w:r>
              <w:rPr>
                <w:rFonts w:cs="Segoe UI" w:asciiTheme="minorHAnsi" w:hAnsiTheme="minorHAnsi"/>
                <w:b/>
                <w:sz w:val="22"/>
                <w:szCs w:val="22"/>
              </w:rPr>
              <w:t xml:space="preserve"> </w:t>
            </w:r>
            <w:bookmarkStart w:name="_GoBack" w:id="0"/>
            <w:bookmarkEnd w:id="0"/>
            <w:r w:rsidRPr="00C53D16" w:rsidR="00695AA2">
              <w:rPr>
                <w:rFonts w:cs="Segoe UI" w:asciiTheme="minorHAnsi" w:hAnsiTheme="minorHAnsi"/>
                <w:b/>
                <w:sz w:val="22"/>
                <w:szCs w:val="22"/>
              </w:rPr>
              <w:t xml:space="preserve">11 </w:t>
            </w:r>
            <w:r w:rsidRPr="00C53D16" w:rsidR="000D4E0E">
              <w:rPr>
                <w:rFonts w:cs="Segoe UI" w:asciiTheme="minorHAnsi" w:hAnsiTheme="minorHAnsi"/>
                <w:b/>
                <w:sz w:val="22"/>
                <w:szCs w:val="22"/>
              </w:rPr>
              <w:t>novembre 2020</w:t>
            </w:r>
            <w:r w:rsidR="00695AA2">
              <w:rPr>
                <w:rFonts w:cs="Segoe UI" w:asciiTheme="minorHAnsi" w:hAnsiTheme="minorHAnsi"/>
                <w:b/>
                <w:sz w:val="22"/>
                <w:szCs w:val="22"/>
              </w:rPr>
              <w:t xml:space="preserve"> </w:t>
            </w:r>
            <w:r w:rsidR="00431963">
              <w:rPr>
                <w:rFonts w:cs="Segoe UI" w:asciiTheme="minorHAnsi" w:hAnsiTheme="minorHAnsi"/>
                <w:b/>
                <w:sz w:val="22"/>
                <w:szCs w:val="22"/>
              </w:rPr>
              <w:t>–</w:t>
            </w:r>
            <w:r w:rsidRPr="008D4F19" w:rsidR="00431963">
              <w:rPr>
                <w:rFonts w:cs="Segoe UI" w:asciiTheme="minorHAnsi" w:hAnsiTheme="minorHAnsi"/>
                <w:sz w:val="22"/>
                <w:szCs w:val="22"/>
              </w:rPr>
              <w:t xml:space="preserve"> </w:t>
            </w:r>
            <w:r w:rsidRPr="008D4F19" w:rsidR="000D4E0E">
              <w:rPr>
                <w:rFonts w:cs="Segoe UI" w:asciiTheme="minorHAnsi" w:hAnsiTheme="minorHAnsi"/>
                <w:sz w:val="22"/>
                <w:szCs w:val="22"/>
              </w:rPr>
              <w:t>es</w:t>
            </w:r>
            <w:r w:rsidRPr="008D4F19" w:rsidR="00431963">
              <w:rPr>
                <w:rFonts w:cs="Segoe UI" w:asciiTheme="minorHAnsi" w:hAnsiTheme="minorHAnsi"/>
                <w:sz w:val="22"/>
                <w:szCs w:val="22"/>
              </w:rPr>
              <w:t>a</w:t>
            </w:r>
            <w:r w:rsidRPr="008D4F19" w:rsidR="000D4E0E">
              <w:rPr>
                <w:rFonts w:cs="Segoe UI" w:asciiTheme="minorHAnsi" w:hAnsiTheme="minorHAnsi"/>
                <w:sz w:val="22"/>
                <w:szCs w:val="22"/>
              </w:rPr>
              <w:t>me</w:t>
            </w:r>
            <w:r w:rsidRPr="009B4693" w:rsidR="00431963">
              <w:rPr>
                <w:rFonts w:cs="Segoe UI" w:asciiTheme="minorHAnsi" w:hAnsiTheme="minorHAnsi"/>
                <w:sz w:val="22"/>
                <w:szCs w:val="22"/>
              </w:rPr>
              <w:t xml:space="preserve"> delle istruzioni inviate dal Presidio della Qualità, ricognizione dei dati e programmazione d</w:t>
            </w:r>
            <w:r w:rsidR="00431963">
              <w:rPr>
                <w:rFonts w:cs="Segoe UI" w:asciiTheme="minorHAnsi" w:hAnsiTheme="minorHAnsi"/>
                <w:sz w:val="22"/>
                <w:szCs w:val="22"/>
              </w:rPr>
              <w:t>el lavoro</w:t>
            </w:r>
            <w:r w:rsidRPr="009B4693" w:rsidR="00431963">
              <w:rPr>
                <w:rFonts w:cs="Segoe UI" w:asciiTheme="minorHAnsi" w:hAnsiTheme="minorHAnsi"/>
                <w:sz w:val="22"/>
                <w:szCs w:val="22"/>
              </w:rPr>
              <w:t>.</w:t>
            </w:r>
          </w:p>
          <w:p w:rsidRPr="000B3771" w:rsidR="00431963" w:rsidP="00431963" w:rsidRDefault="00695AA2" w14:paraId="2C3A4191" w14:textId="00E866F8">
            <w:pPr>
              <w:numPr>
                <w:ilvl w:val="0"/>
                <w:numId w:val="1"/>
              </w:numPr>
              <w:spacing w:before="120" w:after="160" w:line="259" w:lineRule="auto"/>
              <w:mirrorIndents/>
              <w:rPr>
                <w:rFonts w:cs="Segoe UI" w:asciiTheme="minorHAnsi" w:hAnsiTheme="minorHAnsi"/>
                <w:sz w:val="22"/>
                <w:szCs w:val="22"/>
              </w:rPr>
            </w:pPr>
            <w:r>
              <w:rPr>
                <w:rFonts w:cs="Segoe UI" w:asciiTheme="minorHAnsi" w:hAnsiTheme="minorHAnsi"/>
                <w:b/>
                <w:sz w:val="22"/>
                <w:szCs w:val="22"/>
              </w:rPr>
              <w:t xml:space="preserve"> 1</w:t>
            </w:r>
            <w:r w:rsidR="00C53D16">
              <w:rPr>
                <w:rFonts w:cs="Segoe UI" w:asciiTheme="minorHAnsi" w:hAnsiTheme="minorHAnsi"/>
                <w:b/>
                <w:sz w:val="22"/>
                <w:szCs w:val="22"/>
              </w:rPr>
              <w:t>8</w:t>
            </w:r>
            <w:r>
              <w:rPr>
                <w:rFonts w:cs="Segoe UI" w:asciiTheme="minorHAnsi" w:hAnsiTheme="minorHAnsi"/>
                <w:b/>
                <w:sz w:val="22"/>
                <w:szCs w:val="22"/>
              </w:rPr>
              <w:t xml:space="preserve"> novembre </w:t>
            </w:r>
            <w:r w:rsidRPr="00C53D16">
              <w:rPr>
                <w:rFonts w:cs="Segoe UI" w:asciiTheme="minorHAnsi" w:hAnsiTheme="minorHAnsi"/>
                <w:b/>
                <w:sz w:val="22"/>
                <w:szCs w:val="22"/>
              </w:rPr>
              <w:t>2020</w:t>
            </w:r>
            <w:r w:rsidRPr="00C53D16" w:rsidR="00431963">
              <w:rPr>
                <w:rFonts w:cs="Segoe UI" w:asciiTheme="minorHAnsi" w:hAnsiTheme="minorHAnsi"/>
                <w:b/>
                <w:sz w:val="22"/>
                <w:szCs w:val="22"/>
              </w:rPr>
              <w:t xml:space="preserve"> - </w:t>
            </w:r>
            <w:r w:rsidRPr="00C53D16" w:rsidR="00431963">
              <w:rPr>
                <w:rFonts w:cs="Segoe UI" w:asciiTheme="minorHAnsi" w:hAnsiTheme="minorHAnsi"/>
                <w:sz w:val="22"/>
                <w:szCs w:val="22"/>
              </w:rPr>
              <w:t>discussione</w:t>
            </w:r>
            <w:r w:rsidRPr="000B3771" w:rsidR="00431963">
              <w:rPr>
                <w:rFonts w:cs="Segoe UI" w:asciiTheme="minorHAnsi" w:hAnsiTheme="minorHAnsi"/>
                <w:sz w:val="22"/>
                <w:szCs w:val="22"/>
              </w:rPr>
              <w:t xml:space="preserve"> sui contenuti della bozza </w:t>
            </w:r>
            <w:r w:rsidR="000D4E0E">
              <w:rPr>
                <w:rFonts w:cs="Segoe UI" w:asciiTheme="minorHAnsi" w:hAnsiTheme="minorHAnsi"/>
                <w:sz w:val="22"/>
                <w:szCs w:val="22"/>
              </w:rPr>
              <w:t>trasmessa</w:t>
            </w:r>
            <w:r w:rsidRPr="000B3771" w:rsidR="00431963">
              <w:rPr>
                <w:rFonts w:cs="Segoe UI" w:asciiTheme="minorHAnsi" w:hAnsiTheme="minorHAnsi"/>
                <w:sz w:val="22"/>
                <w:szCs w:val="22"/>
              </w:rPr>
              <w:t xml:space="preserve"> dal Presidente</w:t>
            </w:r>
            <w:r w:rsidRPr="000B3771" w:rsidR="000B3771">
              <w:rPr>
                <w:rFonts w:cs="Segoe UI" w:asciiTheme="minorHAnsi" w:hAnsiTheme="minorHAnsi"/>
                <w:sz w:val="22"/>
                <w:szCs w:val="22"/>
              </w:rPr>
              <w:t xml:space="preserve"> </w:t>
            </w:r>
            <w:r w:rsidR="000B3771">
              <w:rPr>
                <w:rFonts w:cs="Segoe UI" w:asciiTheme="minorHAnsi" w:hAnsiTheme="minorHAnsi"/>
                <w:sz w:val="22"/>
                <w:szCs w:val="22"/>
              </w:rPr>
              <w:t>e</w:t>
            </w:r>
            <w:r w:rsidRPr="000B3771" w:rsidR="00431963">
              <w:rPr>
                <w:rFonts w:cs="Segoe UI" w:asciiTheme="minorHAnsi" w:hAnsiTheme="minorHAnsi"/>
                <w:sz w:val="22"/>
                <w:szCs w:val="22"/>
              </w:rPr>
              <w:t xml:space="preserve"> stesura finale della scheda da sottoporre al Consiglio.</w:t>
            </w:r>
          </w:p>
          <w:p w:rsidRPr="005E48B6" w:rsidR="00CF6ADA" w:rsidP="06A62A31" w:rsidRDefault="00695AA2" w14:paraId="51F21172" w14:textId="37E0FBBE" w14:noSpellErr="1">
            <w:pPr>
              <w:numPr>
                <w:ilvl w:val="0"/>
                <w:numId w:val="1"/>
              </w:numPr>
              <w:spacing w:before="120" w:after="160" w:line="259" w:lineRule="auto"/>
              <w:mirrorIndents/>
              <w:rPr>
                <w:rFonts w:ascii="Segoe UI" w:hAnsi="Segoe UI" w:cs="Segoe UI"/>
              </w:rPr>
            </w:pPr>
            <w:r w:rsidRPr="06A62A31" w:rsidR="00695AA2">
              <w:rPr>
                <w:rFonts w:ascii="Calibri" w:hAnsi="Calibri" w:cs="Segoe UI" w:asciiTheme="minorAscii" w:hAnsiTheme="minorAscii"/>
                <w:b w:val="1"/>
                <w:bCs w:val="1"/>
                <w:sz w:val="22"/>
                <w:szCs w:val="22"/>
              </w:rPr>
              <w:t xml:space="preserve">24 novembre 2020 </w:t>
            </w:r>
            <w:r w:rsidRPr="06A62A31" w:rsidR="00695AA2">
              <w:rPr>
                <w:rFonts w:ascii="Calibri" w:hAnsi="Calibri" w:cs="Segoe UI" w:asciiTheme="minorAscii" w:hAnsiTheme="minorAscii"/>
                <w:b w:val="1"/>
                <w:bCs w:val="1"/>
                <w:sz w:val="22"/>
                <w:szCs w:val="22"/>
              </w:rPr>
              <w:t>-</w:t>
            </w:r>
            <w:r w:rsidRPr="06A62A31" w:rsidR="00431963">
              <w:rPr>
                <w:rFonts w:ascii="Calibri" w:hAnsi="Calibri" w:cs="Segoe UI" w:asciiTheme="minorAscii" w:hAnsiTheme="minorAscii"/>
                <w:sz w:val="22"/>
                <w:szCs w:val="22"/>
              </w:rPr>
              <w:t>approvazione della scheda</w:t>
            </w:r>
            <w:r w:rsidRPr="06A62A31" w:rsidR="00431963">
              <w:rPr>
                <w:rFonts w:ascii="Calibri" w:hAnsi="Calibri" w:cs="Segoe UI" w:asciiTheme="minorAscii" w:hAnsiTheme="minorAscii"/>
                <w:b w:val="1"/>
                <w:bCs w:val="1"/>
                <w:sz w:val="22"/>
                <w:szCs w:val="22"/>
              </w:rPr>
              <w:t xml:space="preserve"> </w:t>
            </w:r>
            <w:r w:rsidRPr="06A62A31" w:rsidR="00A40D29">
              <w:rPr>
                <w:rFonts w:ascii="Calibri" w:hAnsi="Calibri" w:cs="Segoe UI" w:asciiTheme="minorAscii" w:hAnsiTheme="minorAscii"/>
                <w:sz w:val="22"/>
                <w:szCs w:val="22"/>
              </w:rPr>
              <w:t>nel</w:t>
            </w:r>
            <w:r w:rsidRPr="06A62A31" w:rsidR="00431963">
              <w:rPr>
                <w:rFonts w:ascii="Calibri" w:hAnsi="Calibri" w:cs="Segoe UI" w:asciiTheme="minorAscii" w:hAnsiTheme="minorAscii"/>
                <w:sz w:val="22"/>
                <w:szCs w:val="22"/>
              </w:rPr>
              <w:t xml:space="preserve"> Consiglio del Corso di Studio.</w:t>
            </w:r>
          </w:p>
        </w:tc>
      </w:tr>
    </w:tbl>
    <w:p w:rsidRPr="00514117" w:rsidR="00CF6ADA" w:rsidP="00CE0FAD" w:rsidRDefault="00CF6ADA" w14:paraId="234ED850" w14:textId="77777777">
      <w:pPr>
        <w:mirrorIndents/>
        <w:rPr>
          <w:rFonts w:ascii="Segoe UI" w:hAnsi="Segoe UI" w:cs="Segoe UI"/>
          <w:sz w:val="10"/>
        </w:rPr>
      </w:pPr>
    </w:p>
    <w:p w:rsidR="001C1D68" w:rsidRDefault="001C1D68" w14:paraId="22CD3C65" w14:textId="77777777">
      <w:pPr>
        <w:rPr>
          <w:rFonts w:ascii="Segoe UI" w:hAnsi="Segoe UI" w:cs="Segoe UI"/>
        </w:rPr>
      </w:pPr>
      <w:r>
        <w:rPr>
          <w:rFonts w:ascii="Segoe UI" w:hAnsi="Segoe UI" w:cs="Segoe UI"/>
        </w:rPr>
        <w:br w:type="page"/>
      </w:r>
    </w:p>
    <w:tbl>
      <w:tblPr>
        <w:tblStyle w:val="Grigliatabel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E2F3" w:themeFill="accent5" w:themeFillTint="33"/>
        <w:tblLook w:val="04A0" w:firstRow="1" w:lastRow="0" w:firstColumn="1" w:lastColumn="0" w:noHBand="0" w:noVBand="1"/>
      </w:tblPr>
      <w:tblGrid>
        <w:gridCol w:w="9392"/>
      </w:tblGrid>
      <w:tr w:rsidRPr="005E48B6" w:rsidR="00CF6ADA" w:rsidTr="005847BB" w14:paraId="37B0E041" w14:textId="77777777">
        <w:trPr>
          <w:jc w:val="center"/>
        </w:trPr>
        <w:tc>
          <w:tcPr>
            <w:tcW w:w="9392" w:type="dxa"/>
            <w:shd w:val="clear" w:color="auto" w:fill="D5DCE4"/>
            <w:vAlign w:val="center"/>
          </w:tcPr>
          <w:p w:rsidRPr="005E48B6" w:rsidR="00CF6ADA" w:rsidP="00CE0FAD" w:rsidRDefault="00CF6ADA" w14:paraId="3692C589" w14:textId="77777777">
            <w:pPr>
              <w:spacing w:line="216" w:lineRule="auto"/>
              <w:mirrorIndents/>
              <w:rPr>
                <w:rFonts w:ascii="Segoe UI" w:hAnsi="Segoe UI" w:cs="Segoe UI"/>
                <w:b/>
                <w:sz w:val="22"/>
                <w:szCs w:val="28"/>
              </w:rPr>
            </w:pPr>
            <w:r w:rsidRPr="005E48B6">
              <w:rPr>
                <w:rFonts w:ascii="Segoe UI" w:hAnsi="Segoe UI" w:cs="Segoe UI"/>
                <w:b/>
                <w:sz w:val="22"/>
                <w:szCs w:val="28"/>
              </w:rPr>
              <w:lastRenderedPageBreak/>
              <w:t>BREVE COMMENTO AGLI INDICATORI</w:t>
            </w:r>
          </w:p>
        </w:tc>
      </w:tr>
    </w:tbl>
    <w:p w:rsidRPr="00514117" w:rsidR="00CF6ADA" w:rsidP="00CE0FAD" w:rsidRDefault="00CF6ADA" w14:paraId="1797DC08" w14:textId="77777777">
      <w:pPr>
        <w:mirrorIndents/>
        <w:rPr>
          <w:rFonts w:ascii="Segoe UI" w:hAnsi="Segoe UI" w:cs="Segoe UI"/>
        </w:rPr>
      </w:pPr>
    </w:p>
    <w:tbl>
      <w:tblPr>
        <w:tblStyle w:val="Grigliatabella"/>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D9E2F3" w:themeFill="accent5" w:themeFillTint="33"/>
        <w:tblLook w:val="04A0" w:firstRow="1" w:lastRow="0" w:firstColumn="1" w:lastColumn="0" w:noHBand="0" w:noVBand="1"/>
      </w:tblPr>
      <w:tblGrid>
        <w:gridCol w:w="9392"/>
      </w:tblGrid>
      <w:tr w:rsidRPr="005E48B6" w:rsidR="00CF6ADA" w:rsidTr="06A62A31" w14:paraId="4CA8D2EB" w14:textId="77777777">
        <w:trPr>
          <w:jc w:val="center"/>
        </w:trPr>
        <w:tc>
          <w:tcPr>
            <w:tcW w:w="9392" w:type="dxa"/>
            <w:shd w:val="clear" w:color="auto" w:fill="auto"/>
            <w:tcMar/>
            <w:vAlign w:val="center"/>
          </w:tcPr>
          <w:p w:rsidRPr="00702E89" w:rsidR="00431963" w:rsidP="00431963" w:rsidRDefault="00431963" w14:paraId="37E0DE26" w14:textId="738F4F89">
            <w:pPr>
              <w:pStyle w:val="Default"/>
              <w:mirrorIndents/>
              <w:jc w:val="both"/>
              <w:rPr>
                <w:rFonts w:ascii="Calibri" w:hAnsi="Calibri" w:cs="Calibri"/>
                <w:color w:val="auto"/>
                <w:sz w:val="18"/>
                <w:szCs w:val="22"/>
                <w:lang w:val="sv-SE"/>
              </w:rPr>
            </w:pPr>
            <w:r w:rsidRPr="00702E89">
              <w:rPr>
                <w:rFonts w:ascii="Calibri" w:hAnsi="Calibri" w:cs="Calibri"/>
                <w:color w:val="auto"/>
                <w:sz w:val="18"/>
                <w:szCs w:val="22"/>
                <w:lang w:val="sv-SE"/>
              </w:rPr>
              <w:t xml:space="preserve">Si premette che non si procederà a confrontare i dati con quelli dell’altro CdS di </w:t>
            </w:r>
            <w:r>
              <w:rPr>
                <w:rFonts w:ascii="Calibri" w:hAnsi="Calibri" w:cs="Calibri"/>
                <w:color w:val="auto"/>
                <w:sz w:val="18"/>
                <w:szCs w:val="22"/>
                <w:lang w:val="sv-SE"/>
              </w:rPr>
              <w:t>A</w:t>
            </w:r>
            <w:r w:rsidRPr="00702E89">
              <w:rPr>
                <w:rFonts w:ascii="Calibri" w:hAnsi="Calibri" w:cs="Calibri"/>
                <w:color w:val="auto"/>
                <w:sz w:val="18"/>
                <w:szCs w:val="22"/>
                <w:lang w:val="sv-SE"/>
              </w:rPr>
              <w:t xml:space="preserve">teneo appartenente alla stessa classe, attivato presso l’Accademia navale di Livorno, in quanto </w:t>
            </w:r>
            <w:r w:rsidR="000B3771">
              <w:rPr>
                <w:rFonts w:ascii="Calibri" w:hAnsi="Calibri" w:cs="Calibri"/>
                <w:color w:val="auto"/>
                <w:sz w:val="18"/>
                <w:szCs w:val="22"/>
                <w:lang w:val="sv-SE"/>
              </w:rPr>
              <w:t xml:space="preserve">lo stesso si articola in due distinti curricula (uno per i Commissari- CM e l’altro per gli Ufficiali delle Capitanerie di Porto – CP), </w:t>
            </w:r>
            <w:r w:rsidRPr="00702E89">
              <w:rPr>
                <w:rFonts w:ascii="Calibri" w:hAnsi="Calibri" w:cs="Calibri"/>
                <w:color w:val="auto"/>
                <w:sz w:val="18"/>
                <w:szCs w:val="22"/>
                <w:lang w:val="sv-SE"/>
              </w:rPr>
              <w:t>gli iscritti, in maggioranza militari, sono ammessi a seguito di concorso</w:t>
            </w:r>
            <w:r w:rsidR="000B3771">
              <w:rPr>
                <w:rFonts w:ascii="Calibri" w:hAnsi="Calibri" w:cs="Calibri"/>
                <w:color w:val="auto"/>
                <w:sz w:val="18"/>
                <w:szCs w:val="22"/>
                <w:lang w:val="sv-SE"/>
              </w:rPr>
              <w:t xml:space="preserve"> e</w:t>
            </w:r>
            <w:r w:rsidRPr="00702E89">
              <w:rPr>
                <w:rFonts w:ascii="Calibri" w:hAnsi="Calibri" w:cs="Calibri"/>
                <w:color w:val="auto"/>
                <w:sz w:val="18"/>
                <w:szCs w:val="22"/>
                <w:lang w:val="sv-SE"/>
              </w:rPr>
              <w:t xml:space="preserve"> in numero molto limitato e sussiste una differenza di oltre 70cfu tra i due corsi. Tali fattori rendono difficilmente comparabili i rispettivi dati.</w:t>
            </w:r>
          </w:p>
          <w:p w:rsidRPr="00702E89" w:rsidR="00431963" w:rsidP="00431963" w:rsidRDefault="00431963" w14:paraId="48B716F8" w14:textId="77777777">
            <w:pPr>
              <w:pStyle w:val="Default"/>
              <w:mirrorIndents/>
              <w:jc w:val="both"/>
              <w:rPr>
                <w:rFonts w:ascii="Calibri" w:hAnsi="Calibri" w:cs="Calibri"/>
                <w:color w:val="auto"/>
                <w:sz w:val="18"/>
                <w:szCs w:val="22"/>
                <w:lang w:val="sv-SE"/>
              </w:rPr>
            </w:pPr>
          </w:p>
          <w:p w:rsidRPr="00702E89" w:rsidR="00431963" w:rsidP="00431963" w:rsidRDefault="00431963" w14:paraId="32F906A8" w14:textId="77777777">
            <w:pPr>
              <w:pStyle w:val="Default"/>
              <w:mirrorIndents/>
              <w:jc w:val="both"/>
              <w:rPr>
                <w:rFonts w:ascii="Calibri" w:hAnsi="Calibri" w:cs="Calibri"/>
                <w:color w:val="auto"/>
                <w:sz w:val="18"/>
                <w:szCs w:val="22"/>
                <w:lang w:val="sv-SE"/>
              </w:rPr>
            </w:pPr>
            <w:r w:rsidRPr="00702E89">
              <w:rPr>
                <w:rFonts w:ascii="Calibri" w:hAnsi="Calibri" w:cs="Calibri"/>
                <w:color w:val="auto"/>
                <w:sz w:val="18"/>
                <w:szCs w:val="22"/>
                <w:lang w:val="sv-SE"/>
              </w:rPr>
              <w:t>Valutazione relativa ai seguenti indicatori:</w:t>
            </w:r>
          </w:p>
          <w:p w:rsidR="00431963" w:rsidP="00431963" w:rsidRDefault="00431963" w14:paraId="1681175A" w14:textId="77777777">
            <w:pPr>
              <w:pStyle w:val="Default"/>
              <w:mirrorIndents/>
              <w:jc w:val="both"/>
              <w:rPr>
                <w:rFonts w:ascii="Calibri" w:hAnsi="Calibri" w:cs="Calibri"/>
                <w:color w:val="auto"/>
                <w:sz w:val="18"/>
                <w:szCs w:val="22"/>
                <w:lang w:val="sv-SE"/>
              </w:rPr>
            </w:pPr>
          </w:p>
          <w:p w:rsidR="00431963" w:rsidP="00431963" w:rsidRDefault="00431963" w14:paraId="716993A3" w14:textId="77777777">
            <w:pPr>
              <w:pStyle w:val="Default"/>
              <w:mirrorIndents/>
              <w:jc w:val="both"/>
              <w:rPr>
                <w:rFonts w:ascii="Calibri" w:hAnsi="Calibri" w:cs="Calibri"/>
                <w:color w:val="auto"/>
                <w:sz w:val="18"/>
                <w:szCs w:val="22"/>
                <w:lang w:val="sv-SE"/>
              </w:rPr>
            </w:pPr>
            <w:r>
              <w:rPr>
                <w:rFonts w:ascii="Calibri" w:hAnsi="Calibri" w:cs="Calibri"/>
                <w:b/>
                <w:color w:val="auto"/>
                <w:sz w:val="18"/>
                <w:szCs w:val="22"/>
                <w:lang w:val="sv-SE"/>
              </w:rPr>
              <w:t xml:space="preserve">Indicatori sull’Attrattività </w:t>
            </w:r>
            <w:r w:rsidRPr="00702E89">
              <w:rPr>
                <w:rFonts w:ascii="Calibri" w:hAnsi="Calibri" w:cs="Calibri"/>
                <w:color w:val="auto"/>
                <w:sz w:val="18"/>
                <w:szCs w:val="22"/>
                <w:lang w:val="sv-SE"/>
              </w:rPr>
              <w:t xml:space="preserve"> </w:t>
            </w:r>
          </w:p>
          <w:p w:rsidRPr="00702E89" w:rsidR="00431963" w:rsidP="00431963" w:rsidRDefault="00431963" w14:paraId="7A51BA0A" w14:textId="77777777">
            <w:pPr>
              <w:pStyle w:val="Default"/>
              <w:mirrorIndents/>
              <w:jc w:val="both"/>
              <w:rPr>
                <w:rFonts w:ascii="Calibri" w:hAnsi="Calibri" w:cs="Calibri"/>
                <w:color w:val="auto"/>
                <w:sz w:val="18"/>
                <w:szCs w:val="22"/>
                <w:lang w:val="sv-SE"/>
              </w:rPr>
            </w:pPr>
            <w:r w:rsidRPr="00702E89">
              <w:rPr>
                <w:rFonts w:ascii="Calibri" w:hAnsi="Calibri" w:cs="Calibri"/>
                <w:color w:val="auto"/>
                <w:sz w:val="18"/>
                <w:szCs w:val="22"/>
                <w:lang w:val="sv-SE"/>
              </w:rPr>
              <w:t>I</w:t>
            </w:r>
            <w:r>
              <w:rPr>
                <w:rFonts w:ascii="Calibri" w:hAnsi="Calibri" w:cs="Calibri"/>
                <w:color w:val="auto"/>
                <w:sz w:val="18"/>
                <w:szCs w:val="22"/>
                <w:lang w:val="sv-SE"/>
              </w:rPr>
              <w:t>ndicatori iC00a, iC00d, iC03, iC12, iC18 e iC25</w:t>
            </w:r>
          </w:p>
          <w:p w:rsidR="00431963" w:rsidP="00431963" w:rsidRDefault="00431963" w14:paraId="2C5B0C24" w14:textId="77777777">
            <w:pPr>
              <w:pStyle w:val="Default"/>
              <w:mirrorIndents/>
              <w:jc w:val="both"/>
              <w:rPr>
                <w:rFonts w:ascii="Calibri" w:hAnsi="Calibri" w:cs="Calibri"/>
                <w:color w:val="auto"/>
                <w:sz w:val="18"/>
                <w:szCs w:val="22"/>
                <w:lang w:val="sv-SE"/>
              </w:rPr>
            </w:pPr>
          </w:p>
          <w:p w:rsidRPr="00702E89" w:rsidR="00431963" w:rsidP="00431963" w:rsidRDefault="00431963" w14:paraId="3BED9A51" w14:textId="35946790">
            <w:pPr>
              <w:pStyle w:val="Default"/>
              <w:mirrorIndents/>
              <w:jc w:val="both"/>
              <w:rPr>
                <w:rFonts w:ascii="Calibri" w:hAnsi="Calibri" w:cs="Calibri"/>
                <w:color w:val="auto"/>
                <w:sz w:val="18"/>
                <w:szCs w:val="22"/>
                <w:lang w:val="sv-SE"/>
              </w:rPr>
            </w:pPr>
            <w:r w:rsidRPr="009D6E92">
              <w:rPr>
                <w:rFonts w:ascii="Calibri" w:hAnsi="Calibri" w:cs="Calibri"/>
                <w:b/>
                <w:color w:val="auto"/>
                <w:sz w:val="18"/>
                <w:szCs w:val="22"/>
                <w:lang w:val="sv-SE"/>
              </w:rPr>
              <w:t>Indicatori iC00a, iC00d</w:t>
            </w:r>
            <w:r w:rsidRPr="009D6E92">
              <w:rPr>
                <w:rFonts w:ascii="Calibri" w:hAnsi="Calibri" w:cs="Calibri"/>
                <w:color w:val="auto"/>
                <w:sz w:val="18"/>
                <w:szCs w:val="22"/>
                <w:lang w:val="sv-SE"/>
              </w:rPr>
              <w:t>: I dati del nostro CdS, pur</w:t>
            </w:r>
            <w:r>
              <w:rPr>
                <w:rFonts w:ascii="Calibri" w:hAnsi="Calibri" w:cs="Calibri"/>
                <w:color w:val="auto"/>
                <w:sz w:val="18"/>
                <w:szCs w:val="22"/>
                <w:lang w:val="sv-SE"/>
              </w:rPr>
              <w:t xml:space="preserve"> rivelando una </w:t>
            </w:r>
            <w:r w:rsidR="009D6E92">
              <w:rPr>
                <w:rFonts w:ascii="Calibri" w:hAnsi="Calibri" w:cs="Calibri"/>
                <w:color w:val="auto"/>
                <w:sz w:val="18"/>
                <w:szCs w:val="22"/>
                <w:lang w:val="sv-SE"/>
              </w:rPr>
              <w:t>lieve flessione degli iscritti</w:t>
            </w:r>
            <w:r>
              <w:rPr>
                <w:rFonts w:ascii="Calibri" w:hAnsi="Calibri" w:cs="Calibri"/>
                <w:color w:val="auto"/>
                <w:sz w:val="18"/>
                <w:szCs w:val="22"/>
                <w:lang w:val="sv-SE"/>
              </w:rPr>
              <w:t xml:space="preserve">, </w:t>
            </w:r>
            <w:r w:rsidR="009D6E92">
              <w:rPr>
                <w:rFonts w:ascii="Calibri" w:hAnsi="Calibri" w:cs="Calibri"/>
                <w:color w:val="auto"/>
                <w:sz w:val="18"/>
                <w:szCs w:val="22"/>
                <w:lang w:val="sv-SE"/>
              </w:rPr>
              <w:t xml:space="preserve">in linea con la </w:t>
            </w:r>
            <w:r w:rsidRPr="00702E89">
              <w:rPr>
                <w:rFonts w:ascii="Calibri" w:hAnsi="Calibri" w:cs="Calibri"/>
                <w:color w:val="auto"/>
                <w:sz w:val="18"/>
                <w:szCs w:val="22"/>
                <w:lang w:val="sv-SE"/>
              </w:rPr>
              <w:t xml:space="preserve">diminuzione </w:t>
            </w:r>
            <w:r w:rsidR="009D6E92">
              <w:rPr>
                <w:rFonts w:ascii="Calibri" w:hAnsi="Calibri" w:cs="Calibri"/>
                <w:color w:val="auto"/>
                <w:sz w:val="18"/>
                <w:szCs w:val="22"/>
                <w:lang w:val="sv-SE"/>
              </w:rPr>
              <w:t xml:space="preserve">a livello nazionale </w:t>
            </w:r>
            <w:r w:rsidRPr="00702E89">
              <w:rPr>
                <w:rFonts w:ascii="Calibri" w:hAnsi="Calibri" w:cs="Calibri"/>
                <w:color w:val="auto"/>
                <w:sz w:val="18"/>
                <w:szCs w:val="22"/>
                <w:lang w:val="sv-SE"/>
              </w:rPr>
              <w:t>degli immatricolati ai Corsi di laurea in Giurisprudenza</w:t>
            </w:r>
            <w:r>
              <w:rPr>
                <w:rFonts w:ascii="Calibri" w:hAnsi="Calibri" w:cs="Calibri"/>
                <w:color w:val="auto"/>
                <w:sz w:val="18"/>
                <w:szCs w:val="22"/>
                <w:lang w:val="sv-SE"/>
              </w:rPr>
              <w:t xml:space="preserve"> per una certa</w:t>
            </w:r>
            <w:r w:rsidRPr="00702E89">
              <w:rPr>
                <w:rFonts w:ascii="Calibri" w:hAnsi="Calibri" w:cs="Calibri"/>
                <w:color w:val="auto"/>
                <w:sz w:val="18"/>
                <w:szCs w:val="22"/>
                <w:lang w:val="sv-SE"/>
              </w:rPr>
              <w:t xml:space="preserve"> s</w:t>
            </w:r>
            <w:r w:rsidR="009D6E92">
              <w:rPr>
                <w:rFonts w:ascii="Calibri" w:hAnsi="Calibri" w:cs="Calibri"/>
                <w:color w:val="auto"/>
                <w:sz w:val="18"/>
                <w:szCs w:val="22"/>
                <w:lang w:val="sv-SE"/>
              </w:rPr>
              <w:t>t</w:t>
            </w:r>
            <w:r w:rsidRPr="00702E89">
              <w:rPr>
                <w:rFonts w:ascii="Calibri" w:hAnsi="Calibri" w:cs="Calibri"/>
                <w:color w:val="auto"/>
                <w:sz w:val="18"/>
                <w:szCs w:val="22"/>
                <w:lang w:val="sv-SE"/>
              </w:rPr>
              <w:t>a</w:t>
            </w:r>
            <w:r w:rsidR="009D6E92">
              <w:rPr>
                <w:rFonts w:ascii="Calibri" w:hAnsi="Calibri" w:cs="Calibri"/>
                <w:color w:val="auto"/>
                <w:sz w:val="18"/>
                <w:szCs w:val="22"/>
                <w:lang w:val="sv-SE"/>
              </w:rPr>
              <w:t>gn</w:t>
            </w:r>
            <w:r w:rsidRPr="00702E89">
              <w:rPr>
                <w:rFonts w:ascii="Calibri" w:hAnsi="Calibri" w:cs="Calibri"/>
                <w:color w:val="auto"/>
                <w:sz w:val="18"/>
                <w:szCs w:val="22"/>
                <w:lang w:val="sv-SE"/>
              </w:rPr>
              <w:t>azione degli sbocchi occupazionali nel mercato del lavoro giuridico</w:t>
            </w:r>
            <w:r>
              <w:rPr>
                <w:rFonts w:ascii="Calibri" w:hAnsi="Calibri" w:cs="Calibri"/>
                <w:color w:val="auto"/>
                <w:sz w:val="18"/>
                <w:szCs w:val="22"/>
                <w:lang w:val="sv-SE"/>
              </w:rPr>
              <w:t>, si presentano nel 201</w:t>
            </w:r>
            <w:r w:rsidR="009D6E92">
              <w:rPr>
                <w:rFonts w:ascii="Calibri" w:hAnsi="Calibri" w:cs="Calibri"/>
                <w:color w:val="auto"/>
                <w:sz w:val="18"/>
                <w:szCs w:val="22"/>
                <w:lang w:val="sv-SE"/>
              </w:rPr>
              <w:t>9</w:t>
            </w:r>
            <w:r>
              <w:rPr>
                <w:rFonts w:ascii="Calibri" w:hAnsi="Calibri" w:cs="Calibri"/>
                <w:color w:val="auto"/>
                <w:sz w:val="18"/>
                <w:szCs w:val="22"/>
                <w:lang w:val="sv-SE"/>
              </w:rPr>
              <w:t xml:space="preserve"> decisamente migliori </w:t>
            </w:r>
            <w:r w:rsidRPr="00702E89">
              <w:rPr>
                <w:rFonts w:ascii="Calibri" w:hAnsi="Calibri" w:cs="Calibri"/>
                <w:color w:val="auto"/>
                <w:sz w:val="18"/>
                <w:szCs w:val="22"/>
                <w:lang w:val="sv-SE"/>
              </w:rPr>
              <w:t xml:space="preserve">rispetto sia alla media dell’area geografica di riferimento </w:t>
            </w:r>
            <w:r>
              <w:rPr>
                <w:rFonts w:ascii="Calibri" w:hAnsi="Calibri" w:cs="Calibri"/>
                <w:color w:val="auto"/>
                <w:sz w:val="18"/>
                <w:szCs w:val="22"/>
                <w:lang w:val="sv-SE"/>
              </w:rPr>
              <w:t>(3</w:t>
            </w:r>
            <w:r w:rsidR="009D6E92">
              <w:rPr>
                <w:rFonts w:ascii="Calibri" w:hAnsi="Calibri" w:cs="Calibri"/>
                <w:color w:val="auto"/>
                <w:sz w:val="18"/>
                <w:szCs w:val="22"/>
                <w:lang w:val="sv-SE"/>
              </w:rPr>
              <w:t>66</w:t>
            </w:r>
            <w:r>
              <w:rPr>
                <w:rFonts w:ascii="Calibri" w:hAnsi="Calibri" w:cs="Calibri"/>
                <w:color w:val="auto"/>
                <w:sz w:val="18"/>
                <w:szCs w:val="22"/>
                <w:lang w:val="sv-SE"/>
              </w:rPr>
              <w:t xml:space="preserve"> avvii di carriera contro 219,</w:t>
            </w:r>
            <w:r w:rsidR="009D6E92">
              <w:rPr>
                <w:rFonts w:ascii="Calibri" w:hAnsi="Calibri" w:cs="Calibri"/>
                <w:color w:val="auto"/>
                <w:sz w:val="18"/>
                <w:szCs w:val="22"/>
                <w:lang w:val="sv-SE"/>
              </w:rPr>
              <w:t>8</w:t>
            </w:r>
            <w:r>
              <w:rPr>
                <w:rFonts w:ascii="Calibri" w:hAnsi="Calibri" w:cs="Calibri"/>
                <w:color w:val="auto"/>
                <w:sz w:val="18"/>
                <w:szCs w:val="22"/>
                <w:lang w:val="sv-SE"/>
              </w:rPr>
              <w:t>; 2</w:t>
            </w:r>
            <w:r w:rsidR="009D6E92">
              <w:rPr>
                <w:rFonts w:ascii="Calibri" w:hAnsi="Calibri" w:cs="Calibri"/>
                <w:color w:val="auto"/>
                <w:sz w:val="18"/>
                <w:szCs w:val="22"/>
                <w:lang w:val="sv-SE"/>
              </w:rPr>
              <w:t>460</w:t>
            </w:r>
            <w:r>
              <w:rPr>
                <w:rFonts w:ascii="Calibri" w:hAnsi="Calibri" w:cs="Calibri"/>
                <w:color w:val="auto"/>
                <w:sz w:val="18"/>
                <w:szCs w:val="22"/>
                <w:lang w:val="sv-SE"/>
              </w:rPr>
              <w:t xml:space="preserve"> iscritti contro 12</w:t>
            </w:r>
            <w:r w:rsidR="009D6E92">
              <w:rPr>
                <w:rFonts w:ascii="Calibri" w:hAnsi="Calibri" w:cs="Calibri"/>
                <w:color w:val="auto"/>
                <w:sz w:val="18"/>
                <w:szCs w:val="22"/>
                <w:lang w:val="sv-SE"/>
              </w:rPr>
              <w:t>25</w:t>
            </w:r>
            <w:r>
              <w:rPr>
                <w:rFonts w:ascii="Calibri" w:hAnsi="Calibri" w:cs="Calibri"/>
                <w:color w:val="auto"/>
                <w:sz w:val="18"/>
                <w:szCs w:val="22"/>
                <w:lang w:val="sv-SE"/>
              </w:rPr>
              <w:t>,</w:t>
            </w:r>
            <w:r w:rsidR="009D6E92">
              <w:rPr>
                <w:rFonts w:ascii="Calibri" w:hAnsi="Calibri" w:cs="Calibri"/>
                <w:color w:val="auto"/>
                <w:sz w:val="18"/>
                <w:szCs w:val="22"/>
                <w:lang w:val="sv-SE"/>
              </w:rPr>
              <w:t>5</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che alla media nazionale</w:t>
            </w:r>
            <w:r>
              <w:rPr>
                <w:rFonts w:ascii="Calibri" w:hAnsi="Calibri" w:cs="Calibri"/>
                <w:color w:val="auto"/>
                <w:sz w:val="18"/>
                <w:szCs w:val="22"/>
                <w:lang w:val="sv-SE"/>
              </w:rPr>
              <w:t xml:space="preserve"> (3</w:t>
            </w:r>
            <w:r w:rsidR="009D6E92">
              <w:rPr>
                <w:rFonts w:ascii="Calibri" w:hAnsi="Calibri" w:cs="Calibri"/>
                <w:color w:val="auto"/>
                <w:sz w:val="18"/>
                <w:szCs w:val="22"/>
                <w:lang w:val="sv-SE"/>
              </w:rPr>
              <w:t>66</w:t>
            </w:r>
            <w:r>
              <w:rPr>
                <w:rFonts w:ascii="Calibri" w:hAnsi="Calibri" w:cs="Calibri"/>
                <w:color w:val="auto"/>
                <w:sz w:val="18"/>
                <w:szCs w:val="22"/>
                <w:lang w:val="sv-SE"/>
              </w:rPr>
              <w:t xml:space="preserve"> avvii di carriera contro 2</w:t>
            </w:r>
            <w:r w:rsidR="009D6E92">
              <w:rPr>
                <w:rFonts w:ascii="Calibri" w:hAnsi="Calibri" w:cs="Calibri"/>
                <w:color w:val="auto"/>
                <w:sz w:val="18"/>
                <w:szCs w:val="22"/>
                <w:lang w:val="sv-SE"/>
              </w:rPr>
              <w:t>44</w:t>
            </w:r>
            <w:r>
              <w:rPr>
                <w:rFonts w:ascii="Calibri" w:hAnsi="Calibri" w:cs="Calibri"/>
                <w:color w:val="auto"/>
                <w:sz w:val="18"/>
                <w:szCs w:val="22"/>
                <w:lang w:val="sv-SE"/>
              </w:rPr>
              <w:t>,</w:t>
            </w:r>
            <w:r w:rsidR="009D6E92">
              <w:rPr>
                <w:rFonts w:ascii="Calibri" w:hAnsi="Calibri" w:cs="Calibri"/>
                <w:color w:val="auto"/>
                <w:sz w:val="18"/>
                <w:szCs w:val="22"/>
                <w:lang w:val="sv-SE"/>
              </w:rPr>
              <w:t>0</w:t>
            </w:r>
            <w:r>
              <w:rPr>
                <w:rFonts w:ascii="Calibri" w:hAnsi="Calibri" w:cs="Calibri"/>
                <w:color w:val="auto"/>
                <w:sz w:val="18"/>
                <w:szCs w:val="22"/>
                <w:lang w:val="sv-SE"/>
              </w:rPr>
              <w:t>; 2</w:t>
            </w:r>
            <w:r w:rsidR="009D6E92">
              <w:rPr>
                <w:rFonts w:ascii="Calibri" w:hAnsi="Calibri" w:cs="Calibri"/>
                <w:color w:val="auto"/>
                <w:sz w:val="18"/>
                <w:szCs w:val="22"/>
                <w:lang w:val="sv-SE"/>
              </w:rPr>
              <w:t>4</w:t>
            </w:r>
            <w:r>
              <w:rPr>
                <w:rFonts w:ascii="Calibri" w:hAnsi="Calibri" w:cs="Calibri"/>
                <w:color w:val="auto"/>
                <w:sz w:val="18"/>
                <w:szCs w:val="22"/>
                <w:lang w:val="sv-SE"/>
              </w:rPr>
              <w:t>6</w:t>
            </w:r>
            <w:r w:rsidR="009D6E92">
              <w:rPr>
                <w:rFonts w:ascii="Calibri" w:hAnsi="Calibri" w:cs="Calibri"/>
                <w:color w:val="auto"/>
                <w:sz w:val="18"/>
                <w:szCs w:val="22"/>
                <w:lang w:val="sv-SE"/>
              </w:rPr>
              <w:t>0</w:t>
            </w:r>
            <w:r>
              <w:rPr>
                <w:rFonts w:ascii="Calibri" w:hAnsi="Calibri" w:cs="Calibri"/>
                <w:color w:val="auto"/>
                <w:sz w:val="18"/>
                <w:szCs w:val="22"/>
                <w:lang w:val="sv-SE"/>
              </w:rPr>
              <w:t xml:space="preserve"> iscritti contro 1</w:t>
            </w:r>
            <w:r w:rsidR="009D6E92">
              <w:rPr>
                <w:rFonts w:ascii="Calibri" w:hAnsi="Calibri" w:cs="Calibri"/>
                <w:color w:val="auto"/>
                <w:sz w:val="18"/>
                <w:szCs w:val="22"/>
                <w:lang w:val="sv-SE"/>
              </w:rPr>
              <w:t>334</w:t>
            </w:r>
            <w:r>
              <w:rPr>
                <w:rFonts w:ascii="Calibri" w:hAnsi="Calibri" w:cs="Calibri"/>
                <w:color w:val="auto"/>
                <w:sz w:val="18"/>
                <w:szCs w:val="22"/>
                <w:lang w:val="sv-SE"/>
              </w:rPr>
              <w:t>,</w:t>
            </w:r>
            <w:r w:rsidR="009D6E92">
              <w:rPr>
                <w:rFonts w:ascii="Calibri" w:hAnsi="Calibri" w:cs="Calibri"/>
                <w:color w:val="auto"/>
                <w:sz w:val="18"/>
                <w:szCs w:val="22"/>
                <w:lang w:val="sv-SE"/>
              </w:rPr>
              <w:t>5</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 xml:space="preserve">Vi sono tuttavia </w:t>
            </w:r>
            <w:r w:rsidRPr="00702E89">
              <w:rPr>
                <w:rFonts w:ascii="Calibri" w:hAnsi="Calibri" w:cs="Calibri"/>
                <w:color w:val="auto"/>
                <w:sz w:val="18"/>
                <w:szCs w:val="22"/>
                <w:lang w:val="sv-SE"/>
              </w:rPr>
              <w:t>alcune cause oggettive d</w:t>
            </w:r>
            <w:r>
              <w:rPr>
                <w:rFonts w:ascii="Calibri" w:hAnsi="Calibri" w:cs="Calibri"/>
                <w:color w:val="auto"/>
                <w:sz w:val="18"/>
                <w:szCs w:val="22"/>
                <w:lang w:val="sv-SE"/>
              </w:rPr>
              <w:t>ell</w:t>
            </w:r>
            <w:r w:rsidRPr="00702E89">
              <w:rPr>
                <w:rFonts w:ascii="Calibri" w:hAnsi="Calibri" w:cs="Calibri"/>
                <w:color w:val="auto"/>
                <w:sz w:val="18"/>
                <w:szCs w:val="22"/>
                <w:lang w:val="sv-SE"/>
              </w:rPr>
              <w:t>a diminuzione di attrattività</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che attengono specificamente il nostro CdS: il decentramento del Polo didattico Piagge rispetto </w:t>
            </w:r>
            <w:r>
              <w:rPr>
                <w:rFonts w:ascii="Calibri" w:hAnsi="Calibri" w:cs="Calibri"/>
                <w:color w:val="auto"/>
                <w:sz w:val="18"/>
                <w:szCs w:val="22"/>
                <w:lang w:val="sv-SE"/>
              </w:rPr>
              <w:t xml:space="preserve">ai Poli didattici Carmignani e del Palazzo La Sapienza e rispetto </w:t>
            </w:r>
            <w:r w:rsidRPr="00702E89">
              <w:rPr>
                <w:rFonts w:ascii="Calibri" w:hAnsi="Calibri" w:cs="Calibri"/>
                <w:color w:val="auto"/>
                <w:sz w:val="18"/>
                <w:szCs w:val="22"/>
                <w:lang w:val="sv-SE"/>
              </w:rPr>
              <w:t xml:space="preserve">agli uffici dei docenti </w:t>
            </w:r>
            <w:r w:rsidR="009D6E92">
              <w:rPr>
                <w:rFonts w:ascii="Calibri" w:hAnsi="Calibri" w:cs="Calibri"/>
                <w:color w:val="auto"/>
                <w:sz w:val="18"/>
                <w:szCs w:val="22"/>
                <w:lang w:val="sv-SE"/>
              </w:rPr>
              <w:t>(ubicati nelle sedi di Piazza d</w:t>
            </w:r>
            <w:r w:rsidRPr="00702E89">
              <w:rPr>
                <w:rFonts w:ascii="Calibri" w:hAnsi="Calibri" w:cs="Calibri"/>
                <w:color w:val="auto"/>
                <w:sz w:val="18"/>
                <w:szCs w:val="22"/>
                <w:lang w:val="sv-SE"/>
              </w:rPr>
              <w:t>e</w:t>
            </w:r>
            <w:r w:rsidR="009D6E92">
              <w:rPr>
                <w:rFonts w:ascii="Calibri" w:hAnsi="Calibri" w:cs="Calibri"/>
                <w:color w:val="auto"/>
                <w:sz w:val="18"/>
                <w:szCs w:val="22"/>
                <w:lang w:val="sv-SE"/>
              </w:rPr>
              <w:t>i Cavalieri e di Palazzo Ricci)</w:t>
            </w:r>
            <w:r w:rsidR="00C07DB2">
              <w:rPr>
                <w:rFonts w:ascii="Calibri" w:hAnsi="Calibri" w:cs="Calibri"/>
                <w:color w:val="auto"/>
                <w:sz w:val="18"/>
                <w:szCs w:val="22"/>
                <w:lang w:val="sv-SE"/>
              </w:rPr>
              <w:t xml:space="preserve"> ed</w:t>
            </w:r>
            <w:r w:rsidRPr="00702E89">
              <w:rPr>
                <w:rFonts w:ascii="Calibri" w:hAnsi="Calibri" w:cs="Calibri"/>
                <w:color w:val="auto"/>
                <w:sz w:val="18"/>
                <w:szCs w:val="22"/>
                <w:lang w:val="sv-SE"/>
              </w:rPr>
              <w:t xml:space="preserve"> all</w:t>
            </w:r>
            <w:r>
              <w:rPr>
                <w:rFonts w:ascii="Calibri" w:hAnsi="Calibri" w:cs="Calibri"/>
                <w:color w:val="auto"/>
                <w:sz w:val="18"/>
                <w:szCs w:val="22"/>
                <w:lang w:val="sv-SE"/>
              </w:rPr>
              <w:t>e sedi dell</w:t>
            </w:r>
            <w:r w:rsidRPr="00702E89">
              <w:rPr>
                <w:rFonts w:ascii="Calibri" w:hAnsi="Calibri" w:cs="Calibri"/>
                <w:color w:val="auto"/>
                <w:sz w:val="18"/>
                <w:szCs w:val="22"/>
                <w:lang w:val="sv-SE"/>
              </w:rPr>
              <w:t>a Biblioteca</w:t>
            </w:r>
            <w:r w:rsidR="00C07DB2">
              <w:rPr>
                <w:rFonts w:ascii="Calibri" w:hAnsi="Calibri" w:cs="Calibri"/>
                <w:color w:val="auto"/>
                <w:sz w:val="18"/>
                <w:szCs w:val="22"/>
                <w:lang w:val="sv-SE"/>
              </w:rPr>
              <w:t xml:space="preserve"> giuridica</w:t>
            </w:r>
            <w:r w:rsidRPr="00702E89">
              <w:rPr>
                <w:rFonts w:ascii="Calibri" w:hAnsi="Calibri" w:cs="Calibri"/>
                <w:color w:val="auto"/>
                <w:sz w:val="18"/>
                <w:szCs w:val="22"/>
                <w:lang w:val="sv-SE"/>
              </w:rPr>
              <w:t xml:space="preserve">; le </w:t>
            </w:r>
            <w:r w:rsidR="00C07DB2">
              <w:rPr>
                <w:rFonts w:ascii="Calibri" w:hAnsi="Calibri" w:cs="Calibri"/>
                <w:color w:val="auto"/>
                <w:sz w:val="18"/>
                <w:szCs w:val="22"/>
                <w:lang w:val="sv-SE"/>
              </w:rPr>
              <w:t>persistent</w:t>
            </w:r>
            <w:r>
              <w:rPr>
                <w:rFonts w:ascii="Calibri" w:hAnsi="Calibri" w:cs="Calibri"/>
                <w:color w:val="auto"/>
                <w:sz w:val="18"/>
                <w:szCs w:val="22"/>
                <w:lang w:val="sv-SE"/>
              </w:rPr>
              <w:t xml:space="preserve">i difficoltà logistiche </w:t>
            </w:r>
            <w:r w:rsidRPr="00702E89">
              <w:rPr>
                <w:rFonts w:ascii="Calibri" w:hAnsi="Calibri" w:cs="Calibri"/>
                <w:color w:val="auto"/>
                <w:sz w:val="18"/>
                <w:szCs w:val="22"/>
                <w:lang w:val="sv-SE"/>
              </w:rPr>
              <w:t>del Polo bibliotecario, a</w:t>
            </w:r>
            <w:r w:rsidR="00C07DB2">
              <w:rPr>
                <w:rFonts w:ascii="Calibri" w:hAnsi="Calibri" w:cs="Calibri"/>
                <w:color w:val="auto"/>
                <w:sz w:val="18"/>
                <w:szCs w:val="22"/>
                <w:lang w:val="sv-SE"/>
              </w:rPr>
              <w:t>ncora</w:t>
            </w:r>
            <w:r w:rsidRPr="00702E89">
              <w:rPr>
                <w:rFonts w:ascii="Calibri" w:hAnsi="Calibri" w:cs="Calibri"/>
                <w:color w:val="auto"/>
                <w:sz w:val="18"/>
                <w:szCs w:val="22"/>
                <w:lang w:val="sv-SE"/>
              </w:rPr>
              <w:t xml:space="preserve"> frazionato </w:t>
            </w:r>
            <w:r w:rsidR="00C07DB2">
              <w:rPr>
                <w:rFonts w:ascii="Calibri" w:hAnsi="Calibri" w:cs="Calibri"/>
                <w:color w:val="auto"/>
                <w:sz w:val="18"/>
                <w:szCs w:val="22"/>
                <w:lang w:val="sv-SE"/>
              </w:rPr>
              <w:t xml:space="preserve">nel 2019 </w:t>
            </w:r>
            <w:r w:rsidRPr="00702E89">
              <w:rPr>
                <w:rFonts w:ascii="Calibri" w:hAnsi="Calibri" w:cs="Calibri"/>
                <w:color w:val="auto"/>
                <w:sz w:val="18"/>
                <w:szCs w:val="22"/>
                <w:lang w:val="sv-SE"/>
              </w:rPr>
              <w:t>in tre diverse sedi</w:t>
            </w:r>
            <w:r>
              <w:rPr>
                <w:rFonts w:ascii="Calibri" w:hAnsi="Calibri" w:cs="Calibri"/>
                <w:color w:val="auto"/>
                <w:sz w:val="18"/>
                <w:szCs w:val="22"/>
                <w:lang w:val="sv-SE"/>
              </w:rPr>
              <w:t xml:space="preserve"> e </w:t>
            </w:r>
            <w:r w:rsidR="00C07DB2">
              <w:rPr>
                <w:rFonts w:ascii="Calibri" w:hAnsi="Calibri" w:cs="Calibri"/>
                <w:color w:val="auto"/>
                <w:sz w:val="18"/>
                <w:szCs w:val="22"/>
                <w:lang w:val="sv-SE"/>
              </w:rPr>
              <w:t xml:space="preserve">con molti materiali </w:t>
            </w:r>
            <w:r>
              <w:rPr>
                <w:rFonts w:ascii="Calibri" w:hAnsi="Calibri" w:cs="Calibri"/>
                <w:color w:val="auto"/>
                <w:sz w:val="18"/>
                <w:szCs w:val="22"/>
                <w:lang w:val="sv-SE"/>
              </w:rPr>
              <w:t xml:space="preserve">ancora </w:t>
            </w:r>
            <w:r w:rsidR="00C07DB2">
              <w:rPr>
                <w:rFonts w:ascii="Calibri" w:hAnsi="Calibri" w:cs="Calibri"/>
                <w:color w:val="auto"/>
                <w:sz w:val="18"/>
                <w:szCs w:val="22"/>
                <w:lang w:val="sv-SE"/>
              </w:rPr>
              <w:t>nell’Archivio di Montacchiello.</w:t>
            </w:r>
            <w:r w:rsidRPr="00BD5607">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Tali cause </w:t>
            </w:r>
            <w:r w:rsidR="00C07DB2">
              <w:rPr>
                <w:rFonts w:ascii="Calibri" w:hAnsi="Calibri" w:cs="Calibri"/>
                <w:color w:val="auto"/>
                <w:sz w:val="18"/>
                <w:szCs w:val="22"/>
                <w:lang w:val="sv-SE"/>
              </w:rPr>
              <w:t xml:space="preserve">hanno </w:t>
            </w:r>
            <w:r w:rsidRPr="00702E89">
              <w:rPr>
                <w:rFonts w:ascii="Calibri" w:hAnsi="Calibri" w:cs="Calibri"/>
                <w:color w:val="auto"/>
                <w:sz w:val="18"/>
                <w:szCs w:val="22"/>
                <w:lang w:val="sv-SE"/>
              </w:rPr>
              <w:t>determina</w:t>
            </w:r>
            <w:r w:rsidR="00C07DB2">
              <w:rPr>
                <w:rFonts w:ascii="Calibri" w:hAnsi="Calibri" w:cs="Calibri"/>
                <w:color w:val="auto"/>
                <w:sz w:val="18"/>
                <w:szCs w:val="22"/>
                <w:lang w:val="sv-SE"/>
              </w:rPr>
              <w:t>t</w:t>
            </w:r>
            <w:r w:rsidRPr="00702E89">
              <w:rPr>
                <w:rFonts w:ascii="Calibri" w:hAnsi="Calibri" w:cs="Calibri"/>
                <w:color w:val="auto"/>
                <w:sz w:val="18"/>
                <w:szCs w:val="22"/>
                <w:lang w:val="sv-SE"/>
              </w:rPr>
              <w:t xml:space="preserve">o </w:t>
            </w:r>
            <w:r>
              <w:rPr>
                <w:rFonts w:ascii="Calibri" w:hAnsi="Calibri" w:cs="Calibri"/>
                <w:color w:val="auto"/>
                <w:sz w:val="18"/>
                <w:szCs w:val="22"/>
                <w:lang w:val="sv-SE"/>
              </w:rPr>
              <w:t>pesant</w:t>
            </w:r>
            <w:r w:rsidRPr="00702E89">
              <w:rPr>
                <w:rFonts w:ascii="Calibri" w:hAnsi="Calibri" w:cs="Calibri"/>
                <w:color w:val="auto"/>
                <w:sz w:val="18"/>
                <w:szCs w:val="22"/>
                <w:lang w:val="sv-SE"/>
              </w:rPr>
              <w:t xml:space="preserve">i difficoltà </w:t>
            </w:r>
            <w:r>
              <w:rPr>
                <w:rFonts w:ascii="Calibri" w:hAnsi="Calibri" w:cs="Calibri"/>
                <w:color w:val="auto"/>
                <w:sz w:val="18"/>
                <w:szCs w:val="22"/>
                <w:lang w:val="sv-SE"/>
              </w:rPr>
              <w:t>a</w:t>
            </w:r>
            <w:r w:rsidRPr="00702E89">
              <w:rPr>
                <w:rFonts w:ascii="Calibri" w:hAnsi="Calibri" w:cs="Calibri"/>
                <w:color w:val="auto"/>
                <w:sz w:val="18"/>
                <w:szCs w:val="22"/>
                <w:lang w:val="sv-SE"/>
              </w:rPr>
              <w:t>lla popolazione studentesca del nostro CdS: a) per la frequenza delle lezioni; b) per la partecipazione alle attività di ricevimento e tutorato; c) per la ricerca di materiale bibliografico ai fini della preparazione di lavori di esercitazione e della tesi di laurea.</w:t>
            </w:r>
          </w:p>
          <w:p w:rsidR="00431963" w:rsidP="00431963" w:rsidRDefault="00431963" w14:paraId="2545FC14" w14:textId="170A211E">
            <w:pPr>
              <w:pStyle w:val="Default"/>
              <w:mirrorIndents/>
              <w:jc w:val="both"/>
              <w:rPr>
                <w:rFonts w:ascii="Calibri" w:hAnsi="Calibri" w:cs="Calibri"/>
                <w:color w:val="auto"/>
                <w:sz w:val="18"/>
                <w:szCs w:val="22"/>
                <w:lang w:val="sv-SE"/>
              </w:rPr>
            </w:pPr>
            <w:r w:rsidRPr="00702E89">
              <w:rPr>
                <w:rFonts w:ascii="Calibri" w:hAnsi="Calibri" w:cs="Calibri"/>
                <w:color w:val="auto"/>
                <w:sz w:val="18"/>
                <w:szCs w:val="22"/>
                <w:lang w:val="sv-SE"/>
              </w:rPr>
              <w:t>Tuttavia, a partire dal</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201</w:t>
            </w:r>
            <w:r>
              <w:rPr>
                <w:rFonts w:ascii="Calibri" w:hAnsi="Calibri" w:cs="Calibri"/>
                <w:color w:val="auto"/>
                <w:sz w:val="18"/>
                <w:szCs w:val="22"/>
                <w:lang w:val="sv-SE"/>
              </w:rPr>
              <w:t>6</w:t>
            </w:r>
            <w:r w:rsidRPr="00702E89">
              <w:rPr>
                <w:rFonts w:ascii="Calibri" w:hAnsi="Calibri" w:cs="Calibri"/>
                <w:color w:val="auto"/>
                <w:sz w:val="18"/>
                <w:szCs w:val="22"/>
                <w:lang w:val="sv-SE"/>
              </w:rPr>
              <w:t xml:space="preserve">, si sono intensificate le iniziative </w:t>
            </w:r>
            <w:r>
              <w:rPr>
                <w:rFonts w:ascii="Calibri" w:hAnsi="Calibri" w:cs="Calibri"/>
                <w:color w:val="auto"/>
                <w:sz w:val="18"/>
                <w:szCs w:val="22"/>
                <w:lang w:val="sv-SE"/>
              </w:rPr>
              <w:t>intrapre</w:t>
            </w:r>
            <w:r w:rsidRPr="00702E89">
              <w:rPr>
                <w:rFonts w:ascii="Calibri" w:hAnsi="Calibri" w:cs="Calibri"/>
                <w:color w:val="auto"/>
                <w:sz w:val="18"/>
                <w:szCs w:val="22"/>
                <w:lang w:val="sv-SE"/>
              </w:rPr>
              <w:t>se dal CdS per sopperire almeno in parte alle difficoltà sopra esposte, che hanno portato</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 xml:space="preserve">dopo una prima inversione di tendenza per lo stesso anno 2016 (con </w:t>
            </w:r>
            <w:r w:rsidRPr="00702E89">
              <w:rPr>
                <w:rFonts w:ascii="Calibri" w:hAnsi="Calibri" w:cs="Calibri"/>
                <w:color w:val="auto"/>
                <w:sz w:val="18"/>
                <w:szCs w:val="22"/>
                <w:lang w:val="sv-SE"/>
              </w:rPr>
              <w:t xml:space="preserve">un incremento di circa il 20% degli immatricolati </w:t>
            </w:r>
            <w:r>
              <w:rPr>
                <w:rFonts w:ascii="Calibri" w:hAnsi="Calibri" w:cs="Calibri"/>
                <w:color w:val="auto"/>
                <w:sz w:val="18"/>
                <w:szCs w:val="22"/>
                <w:lang w:val="sv-SE"/>
              </w:rPr>
              <w:t xml:space="preserve">rispetto all’anno precedente), ad una stabilizzazione degli avvii di carriera al primo anno </w:t>
            </w:r>
            <w:r w:rsidRPr="00702E89">
              <w:rPr>
                <w:rFonts w:ascii="Calibri" w:hAnsi="Calibri" w:cs="Calibri"/>
                <w:color w:val="auto"/>
                <w:sz w:val="18"/>
                <w:szCs w:val="22"/>
                <w:lang w:val="sv-SE"/>
              </w:rPr>
              <w:t xml:space="preserve">per </w:t>
            </w:r>
            <w:r>
              <w:rPr>
                <w:rFonts w:ascii="Calibri" w:hAnsi="Calibri" w:cs="Calibri"/>
                <w:color w:val="auto"/>
                <w:sz w:val="18"/>
                <w:szCs w:val="22"/>
                <w:lang w:val="sv-SE"/>
              </w:rPr>
              <w:t xml:space="preserve">gli anni </w:t>
            </w:r>
            <w:r w:rsidR="00EC2546">
              <w:rPr>
                <w:rFonts w:ascii="Calibri" w:hAnsi="Calibri" w:cs="Calibri"/>
                <w:color w:val="auto"/>
                <w:sz w:val="18"/>
                <w:szCs w:val="22"/>
                <w:lang w:val="sv-SE"/>
              </w:rPr>
              <w:t>successivi</w:t>
            </w:r>
            <w:r w:rsidRPr="00702E89">
              <w:rPr>
                <w:rFonts w:ascii="Calibri" w:hAnsi="Calibri" w:cs="Calibri"/>
                <w:color w:val="auto"/>
                <w:sz w:val="18"/>
                <w:szCs w:val="22"/>
                <w:lang w:val="sv-SE"/>
              </w:rPr>
              <w:t>. Tali iniziative si sono concentrate: a) nel rafforza</w:t>
            </w:r>
            <w:r>
              <w:rPr>
                <w:rFonts w:ascii="Calibri" w:hAnsi="Calibri" w:cs="Calibri"/>
                <w:color w:val="auto"/>
                <w:sz w:val="18"/>
                <w:szCs w:val="22"/>
                <w:lang w:val="sv-SE"/>
              </w:rPr>
              <w:t xml:space="preserve">re </w:t>
            </w:r>
            <w:r w:rsidRPr="00702E89">
              <w:rPr>
                <w:rFonts w:ascii="Calibri" w:hAnsi="Calibri" w:cs="Calibri"/>
                <w:color w:val="auto"/>
                <w:sz w:val="18"/>
                <w:szCs w:val="22"/>
                <w:lang w:val="sv-SE"/>
              </w:rPr>
              <w:t>l’orientamento, attraverso attività più mirate, dirette a far conoscere l’offerta formativa e gli sbocchi occupazionali del corso di laurea nelle scuole e attraverso gli Open Days in Ateneo; b</w:t>
            </w:r>
            <w:r>
              <w:rPr>
                <w:rFonts w:ascii="Calibri" w:hAnsi="Calibri" w:cs="Calibri"/>
                <w:color w:val="auto"/>
                <w:sz w:val="18"/>
                <w:szCs w:val="22"/>
                <w:lang w:val="sv-SE"/>
              </w:rPr>
              <w:t>) nell’organizzare apposite giornate di job placement</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c</w:t>
            </w:r>
            <w:r w:rsidRPr="00702E89">
              <w:rPr>
                <w:rFonts w:ascii="Calibri" w:hAnsi="Calibri" w:cs="Calibri"/>
                <w:color w:val="auto"/>
                <w:sz w:val="18"/>
                <w:szCs w:val="22"/>
                <w:lang w:val="sv-SE"/>
              </w:rPr>
              <w:t>) nel migliora</w:t>
            </w:r>
            <w:r>
              <w:rPr>
                <w:rFonts w:ascii="Calibri" w:hAnsi="Calibri" w:cs="Calibri"/>
                <w:color w:val="auto"/>
                <w:sz w:val="18"/>
                <w:szCs w:val="22"/>
                <w:lang w:val="sv-SE"/>
              </w:rPr>
              <w:t xml:space="preserve">re </w:t>
            </w:r>
            <w:r w:rsidRPr="00702E89">
              <w:rPr>
                <w:rFonts w:ascii="Calibri" w:hAnsi="Calibri" w:cs="Calibri"/>
                <w:color w:val="auto"/>
                <w:sz w:val="18"/>
                <w:szCs w:val="22"/>
                <w:lang w:val="sv-SE"/>
              </w:rPr>
              <w:t>le prospettive di accesso alle professioni successivo alla laurea mediante convenzioni di tirocinio anticipato con gli Ordini professionali degli Avvocati (La Spezia, Livorno, Lucca, Massa, Pisa e Prato)</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dei Notai (Livorno, Lucca e Pisa)</w:t>
            </w:r>
            <w:r>
              <w:rPr>
                <w:rFonts w:ascii="Calibri" w:hAnsi="Calibri" w:cs="Calibri"/>
                <w:color w:val="auto"/>
                <w:sz w:val="18"/>
                <w:szCs w:val="22"/>
                <w:lang w:val="sv-SE"/>
              </w:rPr>
              <w:t xml:space="preserve"> e dei Consulenti del lavoro (Consigli provinciali della Toscana e della provincia di La Spezia);</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d</w:t>
            </w:r>
            <w:r w:rsidRPr="00702E89">
              <w:rPr>
                <w:rFonts w:ascii="Calibri" w:hAnsi="Calibri" w:cs="Calibri"/>
                <w:color w:val="auto"/>
                <w:sz w:val="18"/>
                <w:szCs w:val="22"/>
                <w:lang w:val="sv-SE"/>
              </w:rPr>
              <w:t>) nell</w:t>
            </w:r>
            <w:r>
              <w:rPr>
                <w:rFonts w:ascii="Calibri" w:hAnsi="Calibri" w:cs="Calibri"/>
                <w:color w:val="auto"/>
                <w:sz w:val="18"/>
                <w:szCs w:val="22"/>
                <w:lang w:val="sv-SE"/>
              </w:rPr>
              <w:t>’implementare un</w:t>
            </w:r>
            <w:r w:rsidRPr="00702E89">
              <w:rPr>
                <w:rFonts w:ascii="Calibri" w:hAnsi="Calibri" w:cs="Calibri"/>
                <w:color w:val="auto"/>
                <w:sz w:val="18"/>
                <w:szCs w:val="22"/>
                <w:lang w:val="sv-SE"/>
              </w:rPr>
              <w:t>a più efficace interazione con il Sistema bibliotecario di Ateneo, al fine di aumentare l’efficienza dei servizi</w:t>
            </w:r>
            <w:r>
              <w:rPr>
                <w:rFonts w:ascii="Calibri" w:hAnsi="Calibri" w:cs="Calibri"/>
                <w:color w:val="auto"/>
                <w:sz w:val="18"/>
                <w:szCs w:val="22"/>
                <w:lang w:val="sv-SE"/>
              </w:rPr>
              <w:t xml:space="preserve"> del </w:t>
            </w:r>
            <w:r w:rsidRPr="00702E89">
              <w:rPr>
                <w:rFonts w:ascii="Calibri" w:hAnsi="Calibri" w:cs="Calibri"/>
                <w:color w:val="auto"/>
                <w:sz w:val="18"/>
                <w:szCs w:val="22"/>
                <w:lang w:val="sv-SE"/>
              </w:rPr>
              <w:t>Polo bibliotecario</w:t>
            </w:r>
            <w:r>
              <w:rPr>
                <w:rFonts w:ascii="Calibri" w:hAnsi="Calibri" w:cs="Calibri"/>
                <w:color w:val="auto"/>
                <w:sz w:val="18"/>
                <w:szCs w:val="22"/>
                <w:lang w:val="sv-SE"/>
              </w:rPr>
              <w:t xml:space="preserve"> giuridico</w:t>
            </w:r>
            <w:r w:rsidR="00A41824">
              <w:rPr>
                <w:rFonts w:ascii="Calibri" w:hAnsi="Calibri" w:cs="Calibri"/>
                <w:color w:val="auto"/>
                <w:sz w:val="18"/>
                <w:szCs w:val="22"/>
                <w:lang w:val="sv-SE"/>
              </w:rPr>
              <w:t xml:space="preserve"> e di accelerare i tempi del trasferimento della Biblioteca giuridica nell’unica sede del Palazzo della Sapienza</w:t>
            </w:r>
            <w:r w:rsidRPr="00702E89">
              <w:rPr>
                <w:rFonts w:ascii="Calibri" w:hAnsi="Calibri" w:cs="Calibri"/>
                <w:color w:val="auto"/>
                <w:sz w:val="18"/>
                <w:szCs w:val="22"/>
                <w:lang w:val="sv-SE"/>
              </w:rPr>
              <w:t>.</w:t>
            </w:r>
          </w:p>
          <w:p w:rsidR="005D55D4" w:rsidP="00431963" w:rsidRDefault="00B854F7" w14:paraId="53B748F5" w14:textId="1F41BFC9" w14:noSpellErr="1">
            <w:pPr>
              <w:pStyle w:val="Default"/>
              <w:mirrorIndents/>
              <w:jc w:val="both"/>
              <w:rPr>
                <w:rFonts w:ascii="Calibri" w:hAnsi="Calibri" w:cs="Calibri"/>
                <w:color w:val="auto"/>
                <w:sz w:val="18"/>
                <w:szCs w:val="18"/>
                <w:lang w:val="sv-SE"/>
              </w:rPr>
            </w:pPr>
            <w:r w:rsidRPr="06A62A31" w:rsidR="768044A4">
              <w:rPr>
                <w:rFonts w:ascii="Calibri" w:hAnsi="Calibri" w:cs="Calibri"/>
                <w:color w:val="auto"/>
                <w:sz w:val="18"/>
                <w:szCs w:val="18"/>
                <w:lang w:val="sv-SE"/>
              </w:rPr>
              <w:t>Che l’efficacia di queste iniziative stia producendo i suoi risultati lo dimostrano anche le prospettive per il 2020 con un aumento del numero degli iscritti sulla base dei dati provvisori</w:t>
            </w:r>
            <w:r w:rsidRPr="06A62A31" w:rsidR="207C5587">
              <w:rPr>
                <w:rFonts w:ascii="Calibri" w:hAnsi="Calibri" w:cs="Calibri"/>
                <w:color w:val="auto"/>
                <w:sz w:val="18"/>
                <w:szCs w:val="18"/>
                <w:lang w:val="sv-SE"/>
              </w:rPr>
              <w:t>.</w:t>
            </w:r>
            <w:r w:rsidRPr="06A62A31" w:rsidR="207C5587">
              <w:rPr>
                <w:rFonts w:ascii="Calibri" w:hAnsi="Calibri" w:cs="Calibri"/>
                <w:color w:val="auto"/>
                <w:sz w:val="18"/>
                <w:szCs w:val="18"/>
                <w:lang w:val="sv-SE"/>
              </w:rPr>
              <w:t xml:space="preserve"> </w:t>
            </w:r>
            <w:r w:rsidRPr="06A62A31" w:rsidR="768044A4">
              <w:rPr>
                <w:rFonts w:ascii="Calibri" w:hAnsi="Calibri" w:cs="Calibri"/>
                <w:color w:val="auto"/>
                <w:sz w:val="18"/>
                <w:szCs w:val="18"/>
                <w:lang w:val="sv-SE"/>
              </w:rPr>
              <w:t xml:space="preserve"> </w:t>
            </w:r>
          </w:p>
          <w:p w:rsidR="00431963" w:rsidP="00431963" w:rsidRDefault="00431963" w14:paraId="08E45F44" w14:textId="2DD13F9A">
            <w:pPr>
              <w:pStyle w:val="Default"/>
              <w:mirrorIndents/>
              <w:jc w:val="both"/>
              <w:rPr>
                <w:rFonts w:ascii="Calibri" w:hAnsi="Calibri" w:cs="Calibri"/>
                <w:color w:val="auto"/>
                <w:sz w:val="18"/>
                <w:szCs w:val="22"/>
                <w:lang w:val="sv-SE"/>
              </w:rPr>
            </w:pPr>
            <w:r w:rsidRPr="001F32D5">
              <w:rPr>
                <w:rFonts w:ascii="Calibri" w:hAnsi="Calibri" w:cs="Calibri"/>
                <w:b/>
                <w:color w:val="auto"/>
                <w:sz w:val="18"/>
                <w:szCs w:val="22"/>
                <w:lang w:val="sv-SE"/>
              </w:rPr>
              <w:t>Indicatore iC03</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Con riferimento alla popolazione studentesca proveniente da altre regioni, si </w:t>
            </w:r>
            <w:r>
              <w:rPr>
                <w:rFonts w:ascii="Calibri" w:hAnsi="Calibri" w:cs="Calibri"/>
                <w:color w:val="auto"/>
                <w:sz w:val="18"/>
                <w:szCs w:val="22"/>
                <w:lang w:val="sv-SE"/>
              </w:rPr>
              <w:t>registr</w:t>
            </w:r>
            <w:r w:rsidRPr="00702E89">
              <w:rPr>
                <w:rFonts w:ascii="Calibri" w:hAnsi="Calibri" w:cs="Calibri"/>
                <w:color w:val="auto"/>
                <w:sz w:val="18"/>
                <w:szCs w:val="22"/>
                <w:lang w:val="sv-SE"/>
              </w:rPr>
              <w:t xml:space="preserve">a </w:t>
            </w:r>
            <w:r>
              <w:rPr>
                <w:rFonts w:ascii="Calibri" w:hAnsi="Calibri" w:cs="Calibri"/>
                <w:color w:val="auto"/>
                <w:sz w:val="18"/>
                <w:szCs w:val="22"/>
                <w:lang w:val="sv-SE"/>
              </w:rPr>
              <w:t>nel 201</w:t>
            </w:r>
            <w:r w:rsidR="00CB0127">
              <w:rPr>
                <w:rFonts w:ascii="Calibri" w:hAnsi="Calibri" w:cs="Calibri"/>
                <w:color w:val="auto"/>
                <w:sz w:val="18"/>
                <w:szCs w:val="22"/>
                <w:lang w:val="sv-SE"/>
              </w:rPr>
              <w:t>9</w:t>
            </w:r>
            <w:r>
              <w:rPr>
                <w:rFonts w:ascii="Calibri" w:hAnsi="Calibri" w:cs="Calibri"/>
                <w:color w:val="auto"/>
                <w:sz w:val="18"/>
                <w:szCs w:val="22"/>
                <w:lang w:val="sv-SE"/>
              </w:rPr>
              <w:t xml:space="preserve"> un</w:t>
            </w:r>
            <w:r w:rsidRPr="00702E89">
              <w:rPr>
                <w:rFonts w:ascii="Calibri" w:hAnsi="Calibri" w:cs="Calibri"/>
                <w:color w:val="auto"/>
                <w:sz w:val="18"/>
                <w:szCs w:val="22"/>
                <w:lang w:val="sv-SE"/>
              </w:rPr>
              <w:t xml:space="preserve">a tendenza </w:t>
            </w:r>
            <w:r w:rsidR="00CB0127">
              <w:rPr>
                <w:rFonts w:ascii="Calibri" w:hAnsi="Calibri" w:cs="Calibri"/>
                <w:color w:val="auto"/>
                <w:sz w:val="18"/>
                <w:szCs w:val="22"/>
                <w:lang w:val="sv-SE"/>
              </w:rPr>
              <w:t>al rialzo (29,0%) rispetto al 2018</w:t>
            </w:r>
            <w:r>
              <w:rPr>
                <w:rFonts w:ascii="Calibri" w:hAnsi="Calibri" w:cs="Calibri"/>
                <w:color w:val="auto"/>
                <w:sz w:val="18"/>
                <w:szCs w:val="22"/>
                <w:lang w:val="sv-SE"/>
              </w:rPr>
              <w:t xml:space="preserve"> (26,</w:t>
            </w:r>
            <w:r w:rsidR="00CB0127">
              <w:rPr>
                <w:rFonts w:ascii="Calibri" w:hAnsi="Calibri" w:cs="Calibri"/>
                <w:color w:val="auto"/>
                <w:sz w:val="18"/>
                <w:szCs w:val="22"/>
                <w:lang w:val="sv-SE"/>
              </w:rPr>
              <w:t>7</w:t>
            </w:r>
            <w:r>
              <w:rPr>
                <w:rFonts w:ascii="Calibri" w:hAnsi="Calibri" w:cs="Calibri"/>
                <w:color w:val="auto"/>
                <w:sz w:val="18"/>
                <w:szCs w:val="22"/>
                <w:lang w:val="sv-SE"/>
              </w:rPr>
              <w:t xml:space="preserve">%) </w:t>
            </w:r>
            <w:r w:rsidR="00CB0127">
              <w:rPr>
                <w:rFonts w:ascii="Calibri" w:hAnsi="Calibri" w:cs="Calibri"/>
                <w:color w:val="auto"/>
                <w:sz w:val="18"/>
                <w:szCs w:val="22"/>
                <w:lang w:val="sv-SE"/>
              </w:rPr>
              <w:t>con un ritorno ai dati de</w:t>
            </w:r>
            <w:r>
              <w:rPr>
                <w:rFonts w:ascii="Calibri" w:hAnsi="Calibri" w:cs="Calibri"/>
                <w:color w:val="auto"/>
                <w:sz w:val="18"/>
                <w:szCs w:val="22"/>
                <w:lang w:val="sv-SE"/>
              </w:rPr>
              <w:t>gli anni 201</w:t>
            </w:r>
            <w:r w:rsidR="00CB0127">
              <w:rPr>
                <w:rFonts w:ascii="Calibri" w:hAnsi="Calibri" w:cs="Calibri"/>
                <w:color w:val="auto"/>
                <w:sz w:val="18"/>
                <w:szCs w:val="22"/>
                <w:lang w:val="sv-SE"/>
              </w:rPr>
              <w:t>6</w:t>
            </w:r>
            <w:r>
              <w:rPr>
                <w:rFonts w:ascii="Calibri" w:hAnsi="Calibri" w:cs="Calibri"/>
                <w:color w:val="auto"/>
                <w:sz w:val="18"/>
                <w:szCs w:val="22"/>
                <w:lang w:val="sv-SE"/>
              </w:rPr>
              <w:t xml:space="preserve"> – 2017, </w:t>
            </w:r>
            <w:r w:rsidR="00CB0127">
              <w:rPr>
                <w:rFonts w:ascii="Calibri" w:hAnsi="Calibri" w:cs="Calibri"/>
                <w:color w:val="auto"/>
                <w:sz w:val="18"/>
                <w:szCs w:val="22"/>
                <w:lang w:val="sv-SE"/>
              </w:rPr>
              <w:t xml:space="preserve">e </w:t>
            </w:r>
            <w:r>
              <w:rPr>
                <w:rFonts w:ascii="Calibri" w:hAnsi="Calibri" w:cs="Calibri"/>
                <w:color w:val="auto"/>
                <w:sz w:val="18"/>
                <w:szCs w:val="22"/>
                <w:lang w:val="sv-SE"/>
              </w:rPr>
              <w:t>sempre superiore, benché di poco, al</w:t>
            </w:r>
            <w:r w:rsidRPr="00702E89">
              <w:rPr>
                <w:rFonts w:ascii="Calibri" w:hAnsi="Calibri" w:cs="Calibri"/>
                <w:color w:val="auto"/>
                <w:sz w:val="18"/>
                <w:szCs w:val="22"/>
                <w:lang w:val="sv-SE"/>
              </w:rPr>
              <w:t>la media nazionale</w:t>
            </w:r>
            <w:r>
              <w:rPr>
                <w:rFonts w:ascii="Calibri" w:hAnsi="Calibri" w:cs="Calibri"/>
                <w:color w:val="auto"/>
                <w:sz w:val="18"/>
                <w:szCs w:val="22"/>
                <w:lang w:val="sv-SE"/>
              </w:rPr>
              <w:t xml:space="preserve"> (26,</w:t>
            </w:r>
            <w:r w:rsidR="00CB0127">
              <w:rPr>
                <w:rFonts w:ascii="Calibri" w:hAnsi="Calibri" w:cs="Calibri"/>
                <w:color w:val="auto"/>
                <w:sz w:val="18"/>
                <w:szCs w:val="22"/>
                <w:lang w:val="sv-SE"/>
              </w:rPr>
              <w:t>1</w:t>
            </w:r>
            <w:r>
              <w:rPr>
                <w:rFonts w:ascii="Calibri" w:hAnsi="Calibri" w:cs="Calibri"/>
                <w:color w:val="auto"/>
                <w:sz w:val="18"/>
                <w:szCs w:val="22"/>
                <w:lang w:val="sv-SE"/>
              </w:rPr>
              <w:t>%) e alla media dell’area geografica (</w:t>
            </w:r>
            <w:r w:rsidR="00CB0127">
              <w:rPr>
                <w:rFonts w:ascii="Calibri" w:hAnsi="Calibri" w:cs="Calibri"/>
                <w:color w:val="auto"/>
                <w:sz w:val="18"/>
                <w:szCs w:val="22"/>
                <w:lang w:val="sv-SE"/>
              </w:rPr>
              <w:t>28</w:t>
            </w:r>
            <w:r>
              <w:rPr>
                <w:rFonts w:ascii="Calibri" w:hAnsi="Calibri" w:cs="Calibri"/>
                <w:color w:val="auto"/>
                <w:sz w:val="18"/>
                <w:szCs w:val="22"/>
                <w:lang w:val="sv-SE"/>
              </w:rPr>
              <w:t>,</w:t>
            </w:r>
            <w:r w:rsidR="00CB0127">
              <w:rPr>
                <w:rFonts w:ascii="Calibri" w:hAnsi="Calibri" w:cs="Calibri"/>
                <w:color w:val="auto"/>
                <w:sz w:val="18"/>
                <w:szCs w:val="22"/>
                <w:lang w:val="sv-SE"/>
              </w:rPr>
              <w:t>8</w:t>
            </w:r>
            <w:r>
              <w:rPr>
                <w:rFonts w:ascii="Calibri" w:hAnsi="Calibri" w:cs="Calibri"/>
                <w:color w:val="auto"/>
                <w:sz w:val="18"/>
                <w:szCs w:val="22"/>
                <w:lang w:val="sv-SE"/>
              </w:rPr>
              <w:t>%). Se, da un lato, ciò riflette l’</w:t>
            </w:r>
            <w:r w:rsidRPr="00702E89">
              <w:rPr>
                <w:rFonts w:ascii="Calibri" w:hAnsi="Calibri" w:cs="Calibri"/>
                <w:color w:val="auto"/>
                <w:sz w:val="18"/>
                <w:szCs w:val="22"/>
                <w:lang w:val="sv-SE"/>
              </w:rPr>
              <w:t xml:space="preserve">attrattività </w:t>
            </w:r>
            <w:r>
              <w:rPr>
                <w:rFonts w:ascii="Calibri" w:hAnsi="Calibri" w:cs="Calibri"/>
                <w:color w:val="auto"/>
                <w:sz w:val="18"/>
                <w:szCs w:val="22"/>
                <w:lang w:val="sv-SE"/>
              </w:rPr>
              <w:t xml:space="preserve">anche fuori regione </w:t>
            </w:r>
            <w:r w:rsidRPr="00702E89">
              <w:rPr>
                <w:rFonts w:ascii="Calibri" w:hAnsi="Calibri" w:cs="Calibri"/>
                <w:color w:val="auto"/>
                <w:sz w:val="18"/>
                <w:szCs w:val="22"/>
                <w:lang w:val="sv-SE"/>
              </w:rPr>
              <w:t xml:space="preserve">del nostro CdS, </w:t>
            </w:r>
            <w:r>
              <w:rPr>
                <w:rFonts w:ascii="Calibri" w:hAnsi="Calibri" w:cs="Calibri"/>
                <w:color w:val="auto"/>
                <w:sz w:val="18"/>
                <w:szCs w:val="22"/>
                <w:lang w:val="sv-SE"/>
              </w:rPr>
              <w:t>dall’altro, s</w:t>
            </w:r>
            <w:r w:rsidR="00CB0127">
              <w:rPr>
                <w:rFonts w:ascii="Calibri" w:hAnsi="Calibri" w:cs="Calibri"/>
                <w:color w:val="auto"/>
                <w:sz w:val="18"/>
                <w:szCs w:val="22"/>
                <w:lang w:val="sv-SE"/>
              </w:rPr>
              <w:t>i conferma l’</w:t>
            </w:r>
            <w:r>
              <w:rPr>
                <w:rFonts w:ascii="Calibri" w:hAnsi="Calibri" w:cs="Calibri"/>
                <w:color w:val="auto"/>
                <w:sz w:val="18"/>
                <w:szCs w:val="22"/>
                <w:lang w:val="sv-SE"/>
              </w:rPr>
              <w:t>opportun</w:t>
            </w:r>
            <w:r w:rsidR="00CB0127">
              <w:rPr>
                <w:rFonts w:ascii="Calibri" w:hAnsi="Calibri" w:cs="Calibri"/>
                <w:color w:val="auto"/>
                <w:sz w:val="18"/>
                <w:szCs w:val="22"/>
                <w:lang w:val="sv-SE"/>
              </w:rPr>
              <w:t>ità di</w:t>
            </w:r>
            <w:r>
              <w:rPr>
                <w:rFonts w:ascii="Calibri" w:hAnsi="Calibri" w:cs="Calibri"/>
                <w:color w:val="auto"/>
                <w:sz w:val="18"/>
                <w:szCs w:val="22"/>
                <w:lang w:val="sv-SE"/>
              </w:rPr>
              <w:t xml:space="preserve"> </w:t>
            </w:r>
            <w:r w:rsidR="00CB0127">
              <w:rPr>
                <w:rFonts w:ascii="Calibri" w:hAnsi="Calibri" w:cs="Calibri"/>
                <w:color w:val="auto"/>
                <w:sz w:val="18"/>
                <w:szCs w:val="22"/>
                <w:lang w:val="sv-SE"/>
              </w:rPr>
              <w:t>prosegui</w:t>
            </w:r>
            <w:r>
              <w:rPr>
                <w:rFonts w:ascii="Calibri" w:hAnsi="Calibri" w:cs="Calibri"/>
                <w:color w:val="auto"/>
                <w:sz w:val="18"/>
                <w:szCs w:val="22"/>
                <w:lang w:val="sv-SE"/>
              </w:rPr>
              <w:t xml:space="preserve">re anche in questa direzione le azioni correttive appena esposte in riferimento agli </w:t>
            </w:r>
            <w:r w:rsidRPr="00702E89">
              <w:rPr>
                <w:rFonts w:ascii="Calibri" w:hAnsi="Calibri" w:cs="Calibri"/>
                <w:color w:val="auto"/>
                <w:sz w:val="18"/>
                <w:szCs w:val="22"/>
                <w:lang w:val="sv-SE"/>
              </w:rPr>
              <w:t>Indicatori iC00a</w:t>
            </w:r>
            <w:r>
              <w:rPr>
                <w:rFonts w:ascii="Calibri" w:hAnsi="Calibri" w:cs="Calibri"/>
                <w:color w:val="auto"/>
                <w:sz w:val="18"/>
                <w:szCs w:val="22"/>
                <w:lang w:val="sv-SE"/>
              </w:rPr>
              <w:t xml:space="preserve"> e</w:t>
            </w:r>
            <w:r w:rsidRPr="00702E89">
              <w:rPr>
                <w:rFonts w:ascii="Calibri" w:hAnsi="Calibri" w:cs="Calibri"/>
                <w:color w:val="auto"/>
                <w:sz w:val="18"/>
                <w:szCs w:val="22"/>
                <w:lang w:val="sv-SE"/>
              </w:rPr>
              <w:t xml:space="preserve"> iC00d</w:t>
            </w:r>
            <w:r>
              <w:rPr>
                <w:rFonts w:ascii="Calibri" w:hAnsi="Calibri" w:cs="Calibri"/>
                <w:color w:val="auto"/>
                <w:sz w:val="18"/>
                <w:szCs w:val="22"/>
                <w:lang w:val="sv-SE"/>
              </w:rPr>
              <w:t>.</w:t>
            </w:r>
          </w:p>
          <w:p w:rsidR="00431963" w:rsidP="00431963" w:rsidRDefault="00431963" w14:paraId="3C275892" w14:textId="7BB1741E">
            <w:pPr>
              <w:pStyle w:val="Default"/>
              <w:mirrorIndents/>
              <w:jc w:val="both"/>
              <w:rPr>
                <w:rFonts w:ascii="Calibri" w:hAnsi="Calibri" w:cs="Calibri"/>
                <w:color w:val="auto"/>
                <w:sz w:val="18"/>
                <w:szCs w:val="22"/>
                <w:lang w:val="sv-SE"/>
              </w:rPr>
            </w:pPr>
            <w:r w:rsidRPr="001F32D5">
              <w:rPr>
                <w:rFonts w:ascii="Calibri" w:hAnsi="Calibri" w:cs="Calibri"/>
                <w:b/>
                <w:color w:val="auto"/>
                <w:sz w:val="18"/>
                <w:szCs w:val="22"/>
                <w:lang w:val="sv-SE"/>
              </w:rPr>
              <w:t>Indicatore iC12</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V</w:t>
            </w:r>
            <w:r w:rsidR="003A7176">
              <w:rPr>
                <w:rFonts w:ascii="Calibri" w:hAnsi="Calibri" w:cs="Calibri"/>
                <w:color w:val="auto"/>
                <w:sz w:val="18"/>
                <w:szCs w:val="22"/>
                <w:lang w:val="sv-SE"/>
              </w:rPr>
              <w:t>iene</w:t>
            </w:r>
            <w:r w:rsidRPr="00702E89">
              <w:rPr>
                <w:rFonts w:ascii="Calibri" w:hAnsi="Calibri" w:cs="Calibri"/>
                <w:color w:val="auto"/>
                <w:sz w:val="18"/>
                <w:szCs w:val="22"/>
                <w:lang w:val="sv-SE"/>
              </w:rPr>
              <w:t xml:space="preserve"> </w:t>
            </w:r>
            <w:r w:rsidR="003A7176">
              <w:rPr>
                <w:rFonts w:ascii="Calibri" w:hAnsi="Calibri" w:cs="Calibri"/>
                <w:color w:val="auto"/>
                <w:sz w:val="18"/>
                <w:szCs w:val="22"/>
                <w:lang w:val="sv-SE"/>
              </w:rPr>
              <w:t xml:space="preserve">incrementato il </w:t>
            </w:r>
            <w:r>
              <w:rPr>
                <w:rFonts w:ascii="Calibri" w:hAnsi="Calibri" w:cs="Calibri"/>
                <w:color w:val="auto"/>
                <w:sz w:val="18"/>
                <w:szCs w:val="22"/>
                <w:lang w:val="sv-SE"/>
              </w:rPr>
              <w:t>recupero nel 201</w:t>
            </w:r>
            <w:r w:rsidR="003A7176">
              <w:rPr>
                <w:rFonts w:ascii="Calibri" w:hAnsi="Calibri" w:cs="Calibri"/>
                <w:color w:val="auto"/>
                <w:sz w:val="18"/>
                <w:szCs w:val="22"/>
                <w:lang w:val="sv-SE"/>
              </w:rPr>
              <w:t xml:space="preserve">9 (13,7% contro il </w:t>
            </w:r>
            <w:r>
              <w:rPr>
                <w:rFonts w:ascii="Calibri" w:hAnsi="Calibri" w:cs="Calibri"/>
                <w:color w:val="auto"/>
                <w:sz w:val="18"/>
                <w:szCs w:val="22"/>
                <w:lang w:val="sv-SE"/>
              </w:rPr>
              <w:t>10,3%</w:t>
            </w:r>
            <w:r w:rsidR="003A7176">
              <w:rPr>
                <w:rFonts w:ascii="Calibri" w:hAnsi="Calibri" w:cs="Calibri"/>
                <w:color w:val="auto"/>
                <w:sz w:val="18"/>
                <w:szCs w:val="22"/>
                <w:lang w:val="sv-SE"/>
              </w:rPr>
              <w:t xml:space="preserve"> del 2018 ed il</w:t>
            </w:r>
            <w:r>
              <w:rPr>
                <w:rFonts w:ascii="Calibri" w:hAnsi="Calibri" w:cs="Calibri"/>
                <w:color w:val="auto"/>
                <w:sz w:val="18"/>
                <w:szCs w:val="22"/>
                <w:lang w:val="sv-SE"/>
              </w:rPr>
              <w:t xml:space="preserve"> 2,7%</w:t>
            </w:r>
            <w:r w:rsidR="003A7176">
              <w:rPr>
                <w:rFonts w:ascii="Calibri" w:hAnsi="Calibri" w:cs="Calibri"/>
                <w:color w:val="auto"/>
                <w:sz w:val="18"/>
                <w:szCs w:val="22"/>
                <w:lang w:val="sv-SE"/>
              </w:rPr>
              <w:t xml:space="preserve"> del 2017</w:t>
            </w:r>
            <w:r>
              <w:rPr>
                <w:rFonts w:ascii="Calibri" w:hAnsi="Calibri" w:cs="Calibri"/>
                <w:color w:val="auto"/>
                <w:sz w:val="18"/>
                <w:szCs w:val="22"/>
                <w:lang w:val="sv-SE"/>
              </w:rPr>
              <w:t>) del</w:t>
            </w:r>
            <w:r w:rsidRPr="00702E89">
              <w:rPr>
                <w:rFonts w:ascii="Calibri" w:hAnsi="Calibri" w:cs="Calibri"/>
                <w:color w:val="auto"/>
                <w:sz w:val="18"/>
                <w:szCs w:val="22"/>
                <w:lang w:val="sv-SE"/>
              </w:rPr>
              <w:t>la percentuale di studenti iscritti al primo anno</w:t>
            </w:r>
            <w:r w:rsidR="003A7176">
              <w:rPr>
                <w:rFonts w:ascii="Calibri" w:hAnsi="Calibri" w:cs="Calibri"/>
                <w:color w:val="auto"/>
                <w:sz w:val="18"/>
                <w:szCs w:val="22"/>
                <w:lang w:val="sv-SE"/>
              </w:rPr>
              <w:t>,</w:t>
            </w:r>
            <w:r w:rsidRPr="00702E89">
              <w:rPr>
                <w:rFonts w:ascii="Calibri" w:hAnsi="Calibri" w:cs="Calibri"/>
                <w:color w:val="auto"/>
                <w:sz w:val="18"/>
                <w:szCs w:val="22"/>
                <w:lang w:val="sv-SE"/>
              </w:rPr>
              <w:t xml:space="preserve"> che hanno conseguito il precedente titolo di studio all’estero. </w:t>
            </w:r>
            <w:r w:rsidR="003A7176">
              <w:rPr>
                <w:rFonts w:ascii="Calibri" w:hAnsi="Calibri" w:cs="Calibri"/>
                <w:color w:val="auto"/>
                <w:sz w:val="18"/>
                <w:szCs w:val="22"/>
                <w:lang w:val="sv-SE"/>
              </w:rPr>
              <w:t>Si riduce così la distanza d</w:t>
            </w:r>
            <w:r w:rsidRPr="00702E89">
              <w:rPr>
                <w:rFonts w:ascii="Calibri" w:hAnsi="Calibri" w:cs="Calibri"/>
                <w:color w:val="auto"/>
                <w:sz w:val="18"/>
                <w:szCs w:val="22"/>
                <w:lang w:val="sv-SE"/>
              </w:rPr>
              <w:t xml:space="preserve">alla media dell’area geografica di riferimento </w:t>
            </w:r>
            <w:r>
              <w:rPr>
                <w:rFonts w:ascii="Calibri" w:hAnsi="Calibri" w:cs="Calibri"/>
                <w:color w:val="auto"/>
                <w:sz w:val="18"/>
                <w:szCs w:val="22"/>
                <w:lang w:val="sv-SE"/>
              </w:rPr>
              <w:t>(</w:t>
            </w:r>
            <w:r w:rsidR="003A7176">
              <w:rPr>
                <w:rFonts w:ascii="Calibri" w:hAnsi="Calibri" w:cs="Calibri"/>
                <w:color w:val="auto"/>
                <w:sz w:val="18"/>
                <w:szCs w:val="22"/>
                <w:lang w:val="sv-SE"/>
              </w:rPr>
              <w:t>18,0</w:t>
            </w:r>
            <w:r>
              <w:rPr>
                <w:rFonts w:ascii="Calibri" w:hAnsi="Calibri" w:cs="Calibri"/>
                <w:color w:val="auto"/>
                <w:sz w:val="18"/>
                <w:szCs w:val="22"/>
                <w:lang w:val="sv-SE"/>
              </w:rPr>
              <w:t>%)</w:t>
            </w:r>
            <w:r w:rsidR="003A7176">
              <w:rPr>
                <w:rFonts w:ascii="Calibri" w:hAnsi="Calibri" w:cs="Calibri"/>
                <w:color w:val="auto"/>
                <w:sz w:val="18"/>
                <w:szCs w:val="22"/>
                <w:lang w:val="sv-SE"/>
              </w:rPr>
              <w:t xml:space="preserve"> e si supera </w:t>
            </w:r>
            <w:r w:rsidRPr="00702E89">
              <w:rPr>
                <w:rFonts w:ascii="Calibri" w:hAnsi="Calibri" w:cs="Calibri"/>
                <w:color w:val="auto"/>
                <w:sz w:val="18"/>
                <w:szCs w:val="22"/>
                <w:lang w:val="sv-SE"/>
              </w:rPr>
              <w:t>quella nazionale</w:t>
            </w:r>
            <w:r>
              <w:rPr>
                <w:rFonts w:ascii="Calibri" w:hAnsi="Calibri" w:cs="Calibri"/>
                <w:color w:val="auto"/>
                <w:sz w:val="18"/>
                <w:szCs w:val="22"/>
                <w:lang w:val="sv-SE"/>
              </w:rPr>
              <w:t xml:space="preserve"> (1</w:t>
            </w:r>
            <w:r w:rsidR="003A7176">
              <w:rPr>
                <w:rFonts w:ascii="Calibri" w:hAnsi="Calibri" w:cs="Calibri"/>
                <w:color w:val="auto"/>
                <w:sz w:val="18"/>
                <w:szCs w:val="22"/>
                <w:lang w:val="sv-SE"/>
              </w:rPr>
              <w:t>1</w:t>
            </w:r>
            <w:r>
              <w:rPr>
                <w:rFonts w:ascii="Calibri" w:hAnsi="Calibri" w:cs="Calibri"/>
                <w:color w:val="auto"/>
                <w:sz w:val="18"/>
                <w:szCs w:val="22"/>
                <w:lang w:val="sv-SE"/>
              </w:rPr>
              <w:t>,</w:t>
            </w:r>
            <w:r w:rsidR="003A7176">
              <w:rPr>
                <w:rFonts w:ascii="Calibri" w:hAnsi="Calibri" w:cs="Calibri"/>
                <w:color w:val="auto"/>
                <w:sz w:val="18"/>
                <w:szCs w:val="22"/>
                <w:lang w:val="sv-SE"/>
              </w:rPr>
              <w:t>5</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Il CdS si propone </w:t>
            </w:r>
            <w:r>
              <w:rPr>
                <w:rFonts w:ascii="Calibri" w:hAnsi="Calibri" w:cs="Calibri"/>
                <w:color w:val="auto"/>
                <w:sz w:val="18"/>
                <w:szCs w:val="22"/>
                <w:lang w:val="sv-SE"/>
              </w:rPr>
              <w:t xml:space="preserve">di proseguire nell’azione correttiva già intrapresa </w:t>
            </w:r>
            <w:r w:rsidRPr="00702E89">
              <w:rPr>
                <w:rFonts w:ascii="Calibri" w:hAnsi="Calibri" w:cs="Calibri"/>
                <w:color w:val="auto"/>
                <w:sz w:val="18"/>
                <w:szCs w:val="22"/>
                <w:lang w:val="sv-SE"/>
              </w:rPr>
              <w:t xml:space="preserve">per rendere attrattivo il corso di studi agli studenti stranieri, attraverso la costante promozione ed incremento degli accordi internazionali livello dipartimentale e di </w:t>
            </w:r>
            <w:r>
              <w:rPr>
                <w:rFonts w:ascii="Calibri" w:hAnsi="Calibri" w:cs="Calibri"/>
                <w:color w:val="auto"/>
                <w:sz w:val="18"/>
                <w:szCs w:val="22"/>
                <w:lang w:val="sv-SE"/>
              </w:rPr>
              <w:t>A</w:t>
            </w:r>
            <w:r w:rsidRPr="00702E89">
              <w:rPr>
                <w:rFonts w:ascii="Calibri" w:hAnsi="Calibri" w:cs="Calibri"/>
                <w:color w:val="auto"/>
                <w:sz w:val="18"/>
                <w:szCs w:val="22"/>
                <w:lang w:val="sv-SE"/>
              </w:rPr>
              <w:t>teneo</w:t>
            </w:r>
            <w:r>
              <w:rPr>
                <w:rFonts w:ascii="Calibri" w:hAnsi="Calibri" w:cs="Calibri"/>
                <w:color w:val="auto"/>
                <w:sz w:val="18"/>
                <w:szCs w:val="22"/>
                <w:lang w:val="sv-SE"/>
              </w:rPr>
              <w:t>.</w:t>
            </w:r>
          </w:p>
          <w:p w:rsidRPr="00702E89" w:rsidR="00431963" w:rsidP="00431963" w:rsidRDefault="00431963" w14:paraId="4C7D9A9A" w14:textId="2C0630AE">
            <w:pPr>
              <w:pStyle w:val="Default"/>
              <w:mirrorIndents/>
              <w:jc w:val="both"/>
              <w:rPr>
                <w:rFonts w:ascii="Calibri" w:hAnsi="Calibri" w:cs="Calibri"/>
                <w:color w:val="auto"/>
                <w:sz w:val="18"/>
                <w:szCs w:val="22"/>
                <w:lang w:val="sv-SE"/>
              </w:rPr>
            </w:pPr>
            <w:r w:rsidRPr="00491ECD">
              <w:rPr>
                <w:rFonts w:ascii="Calibri" w:hAnsi="Calibri" w:cs="Calibri"/>
                <w:b/>
                <w:color w:val="auto"/>
                <w:sz w:val="18"/>
                <w:szCs w:val="22"/>
                <w:lang w:val="sv-SE"/>
              </w:rPr>
              <w:t>Indicatori iC18 e iC25</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Il CdS ritiene di valutare i dati di questi indicatori anche sotto il profilo dell’attrattività, riflettendo le opinioni dei laureati che hanno concluso il ciclo di studi. S</w:t>
            </w:r>
            <w:r w:rsidRPr="00702E89">
              <w:rPr>
                <w:rFonts w:ascii="Calibri" w:hAnsi="Calibri" w:cs="Calibri"/>
                <w:color w:val="auto"/>
                <w:sz w:val="18"/>
                <w:szCs w:val="22"/>
                <w:lang w:val="sv-SE"/>
              </w:rPr>
              <w:t xml:space="preserve">i </w:t>
            </w:r>
            <w:r>
              <w:rPr>
                <w:rFonts w:ascii="Calibri" w:hAnsi="Calibri" w:cs="Calibri"/>
                <w:color w:val="auto"/>
                <w:sz w:val="18"/>
                <w:szCs w:val="22"/>
                <w:lang w:val="sv-SE"/>
              </w:rPr>
              <w:t xml:space="preserve">deve </w:t>
            </w:r>
            <w:r w:rsidRPr="00702E89">
              <w:rPr>
                <w:rFonts w:ascii="Calibri" w:hAnsi="Calibri" w:cs="Calibri"/>
                <w:color w:val="auto"/>
                <w:sz w:val="18"/>
                <w:szCs w:val="22"/>
                <w:lang w:val="sv-SE"/>
              </w:rPr>
              <w:t xml:space="preserve">anche </w:t>
            </w:r>
            <w:r>
              <w:rPr>
                <w:rFonts w:ascii="Calibri" w:hAnsi="Calibri" w:cs="Calibri"/>
                <w:color w:val="auto"/>
                <w:sz w:val="18"/>
                <w:szCs w:val="22"/>
                <w:lang w:val="sv-SE"/>
              </w:rPr>
              <w:t xml:space="preserve">prendere </w:t>
            </w:r>
            <w:r w:rsidRPr="00702E89">
              <w:rPr>
                <w:rFonts w:ascii="Calibri" w:hAnsi="Calibri" w:cs="Calibri"/>
                <w:color w:val="auto"/>
                <w:sz w:val="18"/>
                <w:szCs w:val="22"/>
                <w:lang w:val="sv-SE"/>
              </w:rPr>
              <w:t xml:space="preserve">atto che una percentuale </w:t>
            </w:r>
            <w:r w:rsidR="00652E21">
              <w:rPr>
                <w:rFonts w:ascii="Calibri" w:hAnsi="Calibri" w:cs="Calibri"/>
                <w:color w:val="auto"/>
                <w:sz w:val="18"/>
                <w:szCs w:val="22"/>
                <w:lang w:val="sv-SE"/>
              </w:rPr>
              <w:t>di circa i</w:t>
            </w:r>
            <w:r w:rsidRPr="00702E89">
              <w:rPr>
                <w:rFonts w:ascii="Calibri" w:hAnsi="Calibri" w:cs="Calibri"/>
                <w:color w:val="auto"/>
                <w:sz w:val="18"/>
                <w:szCs w:val="22"/>
                <w:lang w:val="sv-SE"/>
              </w:rPr>
              <w:t xml:space="preserve">l </w:t>
            </w:r>
            <w:r>
              <w:rPr>
                <w:rFonts w:ascii="Calibri" w:hAnsi="Calibri" w:cs="Calibri"/>
                <w:color w:val="auto"/>
                <w:sz w:val="18"/>
                <w:szCs w:val="22"/>
                <w:lang w:val="sv-SE"/>
              </w:rPr>
              <w:t>90</w:t>
            </w:r>
            <w:r w:rsidRPr="00702E89">
              <w:rPr>
                <w:rFonts w:ascii="Calibri" w:hAnsi="Calibri" w:cs="Calibri"/>
                <w:color w:val="auto"/>
                <w:sz w:val="18"/>
                <w:szCs w:val="22"/>
                <w:lang w:val="sv-SE"/>
              </w:rPr>
              <w:t>% dei laureati (</w:t>
            </w:r>
            <w:r w:rsidR="00652E21">
              <w:rPr>
                <w:rFonts w:ascii="Calibri" w:hAnsi="Calibri" w:cs="Calibri"/>
                <w:color w:val="auto"/>
                <w:sz w:val="18"/>
                <w:szCs w:val="22"/>
                <w:lang w:val="sv-SE"/>
              </w:rPr>
              <w:t xml:space="preserve">89,9%, </w:t>
            </w:r>
            <w:r w:rsidRPr="00702E89">
              <w:rPr>
                <w:rFonts w:ascii="Calibri" w:hAnsi="Calibri" w:cs="Calibri"/>
                <w:color w:val="auto"/>
                <w:sz w:val="18"/>
                <w:szCs w:val="22"/>
                <w:lang w:val="sv-SE"/>
              </w:rPr>
              <w:t>dati 201</w:t>
            </w:r>
            <w:r w:rsidR="00652E21">
              <w:rPr>
                <w:rFonts w:ascii="Calibri" w:hAnsi="Calibri" w:cs="Calibri"/>
                <w:color w:val="auto"/>
                <w:sz w:val="18"/>
                <w:szCs w:val="22"/>
                <w:lang w:val="sv-SE"/>
              </w:rPr>
              <w:t>9</w:t>
            </w:r>
            <w:r w:rsidRPr="00702E89">
              <w:rPr>
                <w:rFonts w:ascii="Calibri" w:hAnsi="Calibri" w:cs="Calibri"/>
                <w:color w:val="auto"/>
                <w:sz w:val="18"/>
                <w:szCs w:val="22"/>
                <w:lang w:val="sv-SE"/>
              </w:rPr>
              <w:t xml:space="preserve"> – </w:t>
            </w:r>
            <w:r w:rsidRPr="001A26A9">
              <w:rPr>
                <w:rFonts w:ascii="Calibri" w:hAnsi="Calibri" w:cs="Calibri"/>
                <w:b/>
                <w:bCs/>
                <w:color w:val="auto"/>
                <w:sz w:val="18"/>
                <w:szCs w:val="22"/>
                <w:lang w:val="sv-SE"/>
              </w:rPr>
              <w:t>indicatore iC25</w:t>
            </w:r>
            <w:r w:rsidRPr="00702E89">
              <w:rPr>
                <w:rFonts w:ascii="Calibri" w:hAnsi="Calibri" w:cs="Calibri"/>
                <w:color w:val="auto"/>
                <w:sz w:val="18"/>
                <w:szCs w:val="22"/>
                <w:lang w:val="sv-SE"/>
              </w:rPr>
              <w:t>) dà un giudizio</w:t>
            </w:r>
            <w:r>
              <w:rPr>
                <w:rFonts w:ascii="Calibri" w:hAnsi="Calibri" w:cs="Calibri"/>
                <w:color w:val="auto"/>
                <w:sz w:val="18"/>
                <w:szCs w:val="22"/>
                <w:lang w:val="sv-SE"/>
              </w:rPr>
              <w:t xml:space="preserve"> complessivo di apprezzamento verso il CdS, con una tendenza in </w:t>
            </w:r>
            <w:r w:rsidR="00652E21">
              <w:rPr>
                <w:rFonts w:ascii="Calibri" w:hAnsi="Calibri" w:cs="Calibri"/>
                <w:color w:val="auto"/>
                <w:sz w:val="18"/>
                <w:szCs w:val="22"/>
                <w:lang w:val="sv-SE"/>
              </w:rPr>
              <w:t xml:space="preserve">linea con il 2018 (90,1%) ed in </w:t>
            </w:r>
            <w:r>
              <w:rPr>
                <w:rFonts w:ascii="Calibri" w:hAnsi="Calibri" w:cs="Calibri"/>
                <w:color w:val="auto"/>
                <w:sz w:val="18"/>
                <w:szCs w:val="22"/>
                <w:lang w:val="sv-SE"/>
              </w:rPr>
              <w:t xml:space="preserve">ascesa rispetto agli anni 2015 – 2017 (in media l’87%), </w:t>
            </w:r>
            <w:r w:rsidRPr="00702E89">
              <w:rPr>
                <w:rFonts w:ascii="Calibri" w:hAnsi="Calibri" w:cs="Calibri"/>
                <w:color w:val="auto"/>
                <w:sz w:val="18"/>
                <w:szCs w:val="22"/>
                <w:lang w:val="sv-SE"/>
              </w:rPr>
              <w:t>e che una percentuale de</w:t>
            </w:r>
            <w:r>
              <w:rPr>
                <w:rFonts w:ascii="Calibri" w:hAnsi="Calibri" w:cs="Calibri"/>
                <w:color w:val="auto"/>
                <w:sz w:val="18"/>
                <w:szCs w:val="22"/>
                <w:lang w:val="sv-SE"/>
              </w:rPr>
              <w:t>l</w:t>
            </w:r>
            <w:r w:rsidRPr="00702E89">
              <w:rPr>
                <w:rFonts w:ascii="Calibri" w:hAnsi="Calibri" w:cs="Calibri"/>
                <w:color w:val="auto"/>
                <w:sz w:val="18"/>
                <w:szCs w:val="22"/>
                <w:lang w:val="sv-SE"/>
              </w:rPr>
              <w:t xml:space="preserve"> 7</w:t>
            </w:r>
            <w:r w:rsidR="00652E21">
              <w:rPr>
                <w:rFonts w:ascii="Calibri" w:hAnsi="Calibri" w:cs="Calibri"/>
                <w:color w:val="auto"/>
                <w:sz w:val="18"/>
                <w:szCs w:val="22"/>
                <w:lang w:val="sv-SE"/>
              </w:rPr>
              <w:t>1,3</w:t>
            </w:r>
            <w:r w:rsidRPr="00702E89">
              <w:rPr>
                <w:rFonts w:ascii="Calibri" w:hAnsi="Calibri" w:cs="Calibri"/>
                <w:color w:val="auto"/>
                <w:sz w:val="18"/>
                <w:szCs w:val="22"/>
                <w:lang w:val="sv-SE"/>
              </w:rPr>
              <w:t>% (</w:t>
            </w:r>
            <w:r w:rsidR="00652E21">
              <w:rPr>
                <w:rFonts w:ascii="Calibri" w:hAnsi="Calibri" w:cs="Calibri"/>
                <w:color w:val="auto"/>
                <w:sz w:val="18"/>
                <w:szCs w:val="22"/>
                <w:lang w:val="sv-SE"/>
              </w:rPr>
              <w:t xml:space="preserve">contro il </w:t>
            </w:r>
            <w:r>
              <w:rPr>
                <w:rFonts w:ascii="Calibri" w:hAnsi="Calibri" w:cs="Calibri"/>
                <w:color w:val="auto"/>
                <w:sz w:val="18"/>
                <w:szCs w:val="22"/>
                <w:lang w:val="sv-SE"/>
              </w:rPr>
              <w:t xml:space="preserve">69,8% </w:t>
            </w:r>
            <w:r w:rsidR="00652E21">
              <w:rPr>
                <w:rFonts w:ascii="Calibri" w:hAnsi="Calibri" w:cs="Calibri"/>
                <w:color w:val="auto"/>
                <w:sz w:val="18"/>
                <w:szCs w:val="22"/>
                <w:lang w:val="sv-SE"/>
              </w:rPr>
              <w:t>d</w:t>
            </w:r>
            <w:r>
              <w:rPr>
                <w:rFonts w:ascii="Calibri" w:hAnsi="Calibri" w:cs="Calibri"/>
                <w:color w:val="auto"/>
                <w:sz w:val="18"/>
                <w:szCs w:val="22"/>
                <w:lang w:val="sv-SE"/>
              </w:rPr>
              <w:t xml:space="preserve">el 2018) </w:t>
            </w:r>
            <w:r w:rsidRPr="00702E89">
              <w:rPr>
                <w:rFonts w:ascii="Calibri" w:hAnsi="Calibri" w:cs="Calibri"/>
                <w:color w:val="auto"/>
                <w:sz w:val="18"/>
                <w:szCs w:val="22"/>
                <w:lang w:val="sv-SE"/>
              </w:rPr>
              <w:t>si iscriverebbe di nuovo allo stesso CdS</w:t>
            </w:r>
            <w:r>
              <w:rPr>
                <w:rFonts w:ascii="Calibri" w:hAnsi="Calibri" w:cs="Calibri"/>
                <w:color w:val="auto"/>
                <w:sz w:val="18"/>
                <w:szCs w:val="22"/>
                <w:lang w:val="sv-SE"/>
              </w:rPr>
              <w:t>, secondo una tendenza pressoché costante rispetto agli anni 2015 - 2017</w:t>
            </w:r>
            <w:r w:rsidRPr="00702E89">
              <w:rPr>
                <w:rFonts w:ascii="Calibri" w:hAnsi="Calibri" w:cs="Calibri"/>
                <w:color w:val="auto"/>
                <w:sz w:val="18"/>
                <w:szCs w:val="22"/>
                <w:lang w:val="sv-SE"/>
              </w:rPr>
              <w:t xml:space="preserve"> (</w:t>
            </w:r>
            <w:r w:rsidRPr="001A26A9">
              <w:rPr>
                <w:rFonts w:ascii="Calibri" w:hAnsi="Calibri" w:cs="Calibri"/>
                <w:b/>
                <w:bCs/>
                <w:color w:val="auto"/>
                <w:sz w:val="18"/>
                <w:szCs w:val="22"/>
                <w:lang w:val="sv-SE"/>
              </w:rPr>
              <w:t>indicatore iC18</w:t>
            </w:r>
            <w:r w:rsidRPr="00702E89">
              <w:rPr>
                <w:rFonts w:ascii="Calibri" w:hAnsi="Calibri" w:cs="Calibri"/>
                <w:color w:val="auto"/>
                <w:sz w:val="18"/>
                <w:szCs w:val="22"/>
                <w:lang w:val="sv-SE"/>
              </w:rPr>
              <w:t xml:space="preserve">). Tali dati rivelano, pertanto, una </w:t>
            </w:r>
            <w:r>
              <w:rPr>
                <w:rFonts w:ascii="Calibri" w:hAnsi="Calibri" w:cs="Calibri"/>
                <w:color w:val="auto"/>
                <w:sz w:val="18"/>
                <w:szCs w:val="22"/>
                <w:lang w:val="sv-SE"/>
              </w:rPr>
              <w:t xml:space="preserve">piena </w:t>
            </w:r>
            <w:r w:rsidRPr="00702E89">
              <w:rPr>
                <w:rFonts w:ascii="Calibri" w:hAnsi="Calibri" w:cs="Calibri"/>
                <w:color w:val="auto"/>
                <w:sz w:val="18"/>
                <w:szCs w:val="22"/>
                <w:lang w:val="sv-SE"/>
              </w:rPr>
              <w:t xml:space="preserve">rispondenza del percorso formativo alle aspettative della </w:t>
            </w:r>
            <w:r>
              <w:rPr>
                <w:rFonts w:ascii="Calibri" w:hAnsi="Calibri" w:cs="Calibri"/>
                <w:color w:val="auto"/>
                <w:sz w:val="18"/>
                <w:szCs w:val="22"/>
                <w:lang w:val="sv-SE"/>
              </w:rPr>
              <w:t xml:space="preserve">grande </w:t>
            </w:r>
            <w:r w:rsidRPr="00702E89">
              <w:rPr>
                <w:rFonts w:ascii="Calibri" w:hAnsi="Calibri" w:cs="Calibri"/>
                <w:color w:val="auto"/>
                <w:sz w:val="18"/>
                <w:szCs w:val="22"/>
                <w:lang w:val="sv-SE"/>
              </w:rPr>
              <w:t>maggioranza degli studenti</w:t>
            </w:r>
            <w:r w:rsidR="001A26A9">
              <w:rPr>
                <w:rFonts w:ascii="Calibri" w:hAnsi="Calibri" w:cs="Calibri"/>
                <w:color w:val="auto"/>
                <w:sz w:val="18"/>
                <w:szCs w:val="22"/>
                <w:lang w:val="sv-SE"/>
              </w:rPr>
              <w:t xml:space="preserve"> laureati</w:t>
            </w:r>
            <w:r>
              <w:rPr>
                <w:rFonts w:ascii="Calibri" w:hAnsi="Calibri" w:cs="Calibri"/>
                <w:color w:val="auto"/>
                <w:sz w:val="18"/>
                <w:szCs w:val="22"/>
                <w:lang w:val="sv-SE"/>
              </w:rPr>
              <w:t>.</w:t>
            </w:r>
          </w:p>
          <w:p w:rsidRPr="00702E89" w:rsidR="00431963" w:rsidP="00431963" w:rsidRDefault="00431963" w14:paraId="09A0DD51" w14:textId="77777777">
            <w:pPr>
              <w:pStyle w:val="Default"/>
              <w:mirrorIndents/>
              <w:jc w:val="both"/>
              <w:rPr>
                <w:rFonts w:ascii="Calibri" w:hAnsi="Calibri" w:cs="Calibri"/>
                <w:color w:val="auto"/>
                <w:sz w:val="18"/>
                <w:szCs w:val="22"/>
                <w:lang w:val="sv-SE"/>
              </w:rPr>
            </w:pPr>
          </w:p>
          <w:p w:rsidRPr="00BE3095" w:rsidR="00431963" w:rsidP="00431963" w:rsidRDefault="00431963" w14:paraId="7B5717F5" w14:textId="77777777">
            <w:pPr>
              <w:pStyle w:val="Default"/>
              <w:mirrorIndents/>
              <w:jc w:val="both"/>
              <w:rPr>
                <w:rFonts w:ascii="Calibri" w:hAnsi="Calibri" w:cs="Calibri"/>
                <w:color w:val="auto"/>
                <w:sz w:val="18"/>
                <w:szCs w:val="22"/>
                <w:lang w:val="sv-SE"/>
              </w:rPr>
            </w:pPr>
            <w:r w:rsidRPr="00242471">
              <w:rPr>
                <w:rFonts w:ascii="Calibri" w:hAnsi="Calibri" w:cs="Calibri"/>
                <w:b/>
                <w:color w:val="auto"/>
                <w:sz w:val="18"/>
                <w:szCs w:val="22"/>
                <w:lang w:val="sv-SE"/>
              </w:rPr>
              <w:t xml:space="preserve">Indicatori </w:t>
            </w:r>
            <w:r>
              <w:rPr>
                <w:rFonts w:ascii="Calibri" w:hAnsi="Calibri" w:cs="Calibri"/>
                <w:b/>
                <w:color w:val="auto"/>
                <w:sz w:val="18"/>
                <w:szCs w:val="22"/>
                <w:lang w:val="sv-SE"/>
              </w:rPr>
              <w:t>su</w:t>
            </w:r>
            <w:r w:rsidRPr="00242471">
              <w:rPr>
                <w:rFonts w:ascii="Calibri" w:hAnsi="Calibri" w:cs="Calibri"/>
                <w:b/>
                <w:color w:val="auto"/>
                <w:sz w:val="18"/>
                <w:szCs w:val="22"/>
                <w:lang w:val="sv-SE"/>
              </w:rPr>
              <w:t xml:space="preserve">lla </w:t>
            </w:r>
            <w:r>
              <w:rPr>
                <w:rFonts w:ascii="Calibri" w:hAnsi="Calibri" w:cs="Calibri"/>
                <w:b/>
                <w:color w:val="auto"/>
                <w:sz w:val="18"/>
                <w:szCs w:val="22"/>
                <w:lang w:val="sv-SE"/>
              </w:rPr>
              <w:t xml:space="preserve">Prosecuzione degli studi </w:t>
            </w:r>
          </w:p>
          <w:p w:rsidR="00431963" w:rsidP="00431963" w:rsidRDefault="00431963" w14:paraId="573F004C" w14:textId="77777777">
            <w:pPr>
              <w:pStyle w:val="Default"/>
              <w:mirrorIndents/>
              <w:jc w:val="both"/>
              <w:rPr>
                <w:rFonts w:ascii="Calibri" w:hAnsi="Calibri" w:cs="Calibri"/>
                <w:color w:val="auto"/>
                <w:sz w:val="18"/>
                <w:szCs w:val="22"/>
                <w:lang w:val="sv-SE"/>
              </w:rPr>
            </w:pPr>
            <w:r>
              <w:rPr>
                <w:rFonts w:ascii="Calibri" w:hAnsi="Calibri" w:cs="Calibri"/>
                <w:color w:val="auto"/>
                <w:sz w:val="18"/>
                <w:szCs w:val="22"/>
                <w:lang w:val="sv-SE"/>
              </w:rPr>
              <w:t>Indicatori iC14, iC21, iC23, iC24</w:t>
            </w:r>
          </w:p>
          <w:p w:rsidR="00431963" w:rsidP="00431963" w:rsidRDefault="00431963" w14:paraId="26FB4BD6" w14:textId="77777777">
            <w:pPr>
              <w:pStyle w:val="Default"/>
              <w:mirrorIndents/>
              <w:jc w:val="both"/>
              <w:rPr>
                <w:rFonts w:ascii="Calibri" w:hAnsi="Calibri" w:cs="Calibri"/>
                <w:color w:val="auto"/>
                <w:sz w:val="18"/>
                <w:szCs w:val="22"/>
                <w:lang w:val="sv-SE"/>
              </w:rPr>
            </w:pPr>
          </w:p>
          <w:p w:rsidR="00431963" w:rsidP="00431963" w:rsidRDefault="00431963" w14:paraId="11991D9F" w14:textId="5DC92E16">
            <w:pPr>
              <w:pStyle w:val="Default"/>
              <w:mirrorIndents/>
              <w:jc w:val="both"/>
              <w:rPr>
                <w:rFonts w:ascii="Calibri" w:hAnsi="Calibri" w:cs="Calibri"/>
                <w:color w:val="auto"/>
                <w:sz w:val="18"/>
                <w:szCs w:val="22"/>
                <w:lang w:val="sv-SE"/>
              </w:rPr>
            </w:pPr>
            <w:r w:rsidRPr="00702E89">
              <w:rPr>
                <w:rFonts w:ascii="Calibri" w:hAnsi="Calibri" w:cs="Calibri"/>
                <w:color w:val="auto"/>
                <w:sz w:val="18"/>
                <w:szCs w:val="22"/>
                <w:lang w:val="sv-SE"/>
              </w:rPr>
              <w:t>L’i</w:t>
            </w:r>
            <w:r w:rsidRPr="007E3515">
              <w:rPr>
                <w:rFonts w:ascii="Calibri" w:hAnsi="Calibri" w:cs="Calibri"/>
                <w:b/>
                <w:color w:val="auto"/>
                <w:sz w:val="18"/>
                <w:szCs w:val="22"/>
                <w:lang w:val="sv-SE"/>
              </w:rPr>
              <w:t>ndicatore iC14</w:t>
            </w:r>
            <w:r w:rsidRPr="00702E89">
              <w:rPr>
                <w:rFonts w:ascii="Calibri" w:hAnsi="Calibri" w:cs="Calibri"/>
                <w:color w:val="auto"/>
                <w:sz w:val="18"/>
                <w:szCs w:val="22"/>
                <w:lang w:val="sv-SE"/>
              </w:rPr>
              <w:t xml:space="preserve"> dimostra una percentuale di abbandoni fra il primo e il secondo anno </w:t>
            </w:r>
            <w:r>
              <w:rPr>
                <w:rFonts w:ascii="Calibri" w:hAnsi="Calibri" w:cs="Calibri"/>
                <w:color w:val="auto"/>
                <w:sz w:val="18"/>
                <w:szCs w:val="22"/>
                <w:lang w:val="sv-SE"/>
              </w:rPr>
              <w:t>d</w:t>
            </w:r>
            <w:r w:rsidR="00817985">
              <w:rPr>
                <w:rFonts w:ascii="Calibri" w:hAnsi="Calibri" w:cs="Calibri"/>
                <w:color w:val="auto"/>
                <w:sz w:val="18"/>
                <w:szCs w:val="22"/>
                <w:lang w:val="sv-SE"/>
              </w:rPr>
              <w:t>el 28,7%</w:t>
            </w:r>
            <w:r>
              <w:rPr>
                <w:rFonts w:ascii="Calibri" w:hAnsi="Calibri" w:cs="Calibri"/>
                <w:color w:val="auto"/>
                <w:sz w:val="18"/>
                <w:szCs w:val="22"/>
                <w:lang w:val="sv-SE"/>
              </w:rPr>
              <w:t xml:space="preserve"> (prosegue il 7</w:t>
            </w:r>
            <w:r w:rsidR="00817985">
              <w:rPr>
                <w:rFonts w:ascii="Calibri" w:hAnsi="Calibri" w:cs="Calibri"/>
                <w:color w:val="auto"/>
                <w:sz w:val="18"/>
                <w:szCs w:val="22"/>
                <w:lang w:val="sv-SE"/>
              </w:rPr>
              <w:t>1</w:t>
            </w:r>
            <w:r>
              <w:rPr>
                <w:rFonts w:ascii="Calibri" w:hAnsi="Calibri" w:cs="Calibri"/>
                <w:color w:val="auto"/>
                <w:sz w:val="18"/>
                <w:szCs w:val="22"/>
                <w:lang w:val="sv-SE"/>
              </w:rPr>
              <w:t>,3%)</w:t>
            </w:r>
            <w:r w:rsidRPr="00702E89">
              <w:rPr>
                <w:rFonts w:ascii="Calibri" w:hAnsi="Calibri" w:cs="Calibri"/>
                <w:color w:val="auto"/>
                <w:sz w:val="18"/>
                <w:szCs w:val="22"/>
                <w:lang w:val="sv-SE"/>
              </w:rPr>
              <w:t xml:space="preserve">, secondo un trend </w:t>
            </w:r>
            <w:r w:rsidR="00817985">
              <w:rPr>
                <w:rFonts w:ascii="Calibri" w:hAnsi="Calibri" w:cs="Calibri"/>
                <w:color w:val="auto"/>
                <w:sz w:val="18"/>
                <w:szCs w:val="22"/>
                <w:lang w:val="sv-SE"/>
              </w:rPr>
              <w:t>in lieve crescita rispetto alla percentuale media del 25% di abbandoni negli anni 2015-2017</w:t>
            </w:r>
            <w:r w:rsidRPr="00702E89">
              <w:rPr>
                <w:rFonts w:ascii="Calibri" w:hAnsi="Calibri" w:cs="Calibri"/>
                <w:color w:val="auto"/>
                <w:sz w:val="18"/>
                <w:szCs w:val="22"/>
                <w:lang w:val="sv-SE"/>
              </w:rPr>
              <w:t xml:space="preserve">. Si tratta di un dato </w:t>
            </w:r>
            <w:r>
              <w:rPr>
                <w:rFonts w:ascii="Calibri" w:hAnsi="Calibri" w:cs="Calibri"/>
                <w:color w:val="auto"/>
                <w:sz w:val="18"/>
                <w:szCs w:val="22"/>
                <w:lang w:val="sv-SE"/>
              </w:rPr>
              <w:t>d</w:t>
            </w:r>
            <w:r w:rsidR="00817985">
              <w:rPr>
                <w:rFonts w:ascii="Calibri" w:hAnsi="Calibri" w:cs="Calibri"/>
                <w:color w:val="auto"/>
                <w:sz w:val="18"/>
                <w:szCs w:val="22"/>
                <w:lang w:val="sv-SE"/>
              </w:rPr>
              <w:t>i circa il 5%</w:t>
            </w:r>
            <w:r>
              <w:rPr>
                <w:rFonts w:ascii="Calibri" w:hAnsi="Calibri" w:cs="Calibri"/>
                <w:color w:val="auto"/>
                <w:sz w:val="18"/>
                <w:szCs w:val="22"/>
                <w:lang w:val="sv-SE"/>
              </w:rPr>
              <w:t xml:space="preserve">  superiore al</w:t>
            </w:r>
            <w:r w:rsidRPr="00702E89">
              <w:rPr>
                <w:rFonts w:ascii="Calibri" w:hAnsi="Calibri" w:cs="Calibri"/>
                <w:color w:val="auto"/>
                <w:sz w:val="18"/>
                <w:szCs w:val="22"/>
                <w:lang w:val="sv-SE"/>
              </w:rPr>
              <w:t>la media dell’area geografica di riferimento</w:t>
            </w:r>
            <w:r>
              <w:rPr>
                <w:rFonts w:ascii="Calibri" w:hAnsi="Calibri" w:cs="Calibri"/>
                <w:color w:val="auto"/>
                <w:sz w:val="18"/>
                <w:szCs w:val="22"/>
                <w:lang w:val="sv-SE"/>
              </w:rPr>
              <w:t xml:space="preserve"> (</w:t>
            </w:r>
            <w:r w:rsidR="00817985">
              <w:rPr>
                <w:rFonts w:ascii="Calibri" w:hAnsi="Calibri" w:cs="Calibri"/>
                <w:color w:val="auto"/>
                <w:sz w:val="18"/>
                <w:szCs w:val="22"/>
                <w:lang w:val="sv-SE"/>
              </w:rPr>
              <w:t xml:space="preserve">dove </w:t>
            </w:r>
            <w:r>
              <w:rPr>
                <w:rFonts w:ascii="Calibri" w:hAnsi="Calibri" w:cs="Calibri"/>
                <w:color w:val="auto"/>
                <w:sz w:val="18"/>
                <w:szCs w:val="22"/>
                <w:lang w:val="sv-SE"/>
              </w:rPr>
              <w:t>prosegue il 7</w:t>
            </w:r>
            <w:r w:rsidR="00817985">
              <w:rPr>
                <w:rFonts w:ascii="Calibri" w:hAnsi="Calibri" w:cs="Calibri"/>
                <w:color w:val="auto"/>
                <w:sz w:val="18"/>
                <w:szCs w:val="22"/>
                <w:lang w:val="sv-SE"/>
              </w:rPr>
              <w:t>6</w:t>
            </w:r>
            <w:r>
              <w:rPr>
                <w:rFonts w:ascii="Calibri" w:hAnsi="Calibri" w:cs="Calibri"/>
                <w:color w:val="auto"/>
                <w:sz w:val="18"/>
                <w:szCs w:val="22"/>
                <w:lang w:val="sv-SE"/>
              </w:rPr>
              <w:t>,</w:t>
            </w:r>
            <w:r w:rsidR="00817985">
              <w:rPr>
                <w:rFonts w:ascii="Calibri" w:hAnsi="Calibri" w:cs="Calibri"/>
                <w:color w:val="auto"/>
                <w:sz w:val="18"/>
                <w:szCs w:val="22"/>
                <w:lang w:val="sv-SE"/>
              </w:rPr>
              <w:t>0</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e nazionale</w:t>
            </w:r>
            <w:r>
              <w:rPr>
                <w:rFonts w:ascii="Calibri" w:hAnsi="Calibri" w:cs="Calibri"/>
                <w:color w:val="auto"/>
                <w:sz w:val="18"/>
                <w:szCs w:val="22"/>
                <w:lang w:val="sv-SE"/>
              </w:rPr>
              <w:t xml:space="preserve"> (</w:t>
            </w:r>
            <w:r w:rsidR="00817985">
              <w:rPr>
                <w:rFonts w:ascii="Calibri" w:hAnsi="Calibri" w:cs="Calibri"/>
                <w:color w:val="auto"/>
                <w:sz w:val="18"/>
                <w:szCs w:val="22"/>
                <w:lang w:val="sv-SE"/>
              </w:rPr>
              <w:t xml:space="preserve">dove </w:t>
            </w:r>
            <w:r>
              <w:rPr>
                <w:rFonts w:ascii="Calibri" w:hAnsi="Calibri" w:cs="Calibri"/>
                <w:color w:val="auto"/>
                <w:sz w:val="18"/>
                <w:szCs w:val="22"/>
                <w:lang w:val="sv-SE"/>
              </w:rPr>
              <w:t>prosegue il 7</w:t>
            </w:r>
            <w:r w:rsidR="00817985">
              <w:rPr>
                <w:rFonts w:ascii="Calibri" w:hAnsi="Calibri" w:cs="Calibri"/>
                <w:color w:val="auto"/>
                <w:sz w:val="18"/>
                <w:szCs w:val="22"/>
                <w:lang w:val="sv-SE"/>
              </w:rPr>
              <w:t>5</w:t>
            </w:r>
            <w:r>
              <w:rPr>
                <w:rFonts w:ascii="Calibri" w:hAnsi="Calibri" w:cs="Calibri"/>
                <w:color w:val="auto"/>
                <w:sz w:val="18"/>
                <w:szCs w:val="22"/>
                <w:lang w:val="sv-SE"/>
              </w:rPr>
              <w:t>,</w:t>
            </w:r>
            <w:r w:rsidR="00817985">
              <w:rPr>
                <w:rFonts w:ascii="Calibri" w:hAnsi="Calibri" w:cs="Calibri"/>
                <w:color w:val="auto"/>
                <w:sz w:val="18"/>
                <w:szCs w:val="22"/>
                <w:lang w:val="sv-SE"/>
              </w:rPr>
              <w:t>4</w:t>
            </w:r>
            <w:r>
              <w:rPr>
                <w:rFonts w:ascii="Calibri" w:hAnsi="Calibri" w:cs="Calibri"/>
                <w:color w:val="auto"/>
                <w:sz w:val="18"/>
                <w:szCs w:val="22"/>
                <w:lang w:val="sv-SE"/>
              </w:rPr>
              <w:t>%)</w:t>
            </w:r>
            <w:r w:rsidRPr="00702E89">
              <w:rPr>
                <w:rFonts w:ascii="Calibri" w:hAnsi="Calibri" w:cs="Calibri"/>
                <w:color w:val="auto"/>
                <w:sz w:val="18"/>
                <w:szCs w:val="22"/>
                <w:lang w:val="sv-SE"/>
              </w:rPr>
              <w:t>.</w:t>
            </w:r>
            <w:r>
              <w:rPr>
                <w:rFonts w:ascii="Calibri" w:hAnsi="Calibri" w:cs="Calibri"/>
                <w:color w:val="auto"/>
                <w:sz w:val="18"/>
                <w:szCs w:val="22"/>
                <w:lang w:val="sv-SE"/>
              </w:rPr>
              <w:t xml:space="preserve"> Mentre l’</w:t>
            </w:r>
            <w:r w:rsidRPr="007E3515">
              <w:rPr>
                <w:rFonts w:ascii="Calibri" w:hAnsi="Calibri" w:cs="Calibri"/>
                <w:b/>
                <w:color w:val="auto"/>
                <w:sz w:val="18"/>
                <w:szCs w:val="22"/>
                <w:lang w:val="sv-SE"/>
              </w:rPr>
              <w:t xml:space="preserve">indicatore iC21 </w:t>
            </w:r>
            <w:r>
              <w:rPr>
                <w:rFonts w:ascii="Calibri" w:hAnsi="Calibri" w:cs="Calibri"/>
                <w:color w:val="auto"/>
                <w:sz w:val="18"/>
                <w:szCs w:val="22"/>
                <w:lang w:val="sv-SE"/>
              </w:rPr>
              <w:t>segnala che nel 201</w:t>
            </w:r>
            <w:r w:rsidR="00817985">
              <w:rPr>
                <w:rFonts w:ascii="Calibri" w:hAnsi="Calibri" w:cs="Calibri"/>
                <w:color w:val="auto"/>
                <w:sz w:val="18"/>
                <w:szCs w:val="22"/>
                <w:lang w:val="sv-SE"/>
              </w:rPr>
              <w:t>8</w:t>
            </w:r>
            <w:r>
              <w:rPr>
                <w:rFonts w:ascii="Calibri" w:hAnsi="Calibri" w:cs="Calibri"/>
                <w:color w:val="auto"/>
                <w:sz w:val="18"/>
                <w:szCs w:val="22"/>
                <w:lang w:val="sv-SE"/>
              </w:rPr>
              <w:t xml:space="preserve"> (ultimo anno di riferimento) la percentuale di studenti che proseguono la carriera nel sistema universitario al II anno è dell’89</w:t>
            </w:r>
            <w:r w:rsidR="00817985">
              <w:rPr>
                <w:rFonts w:ascii="Calibri" w:hAnsi="Calibri" w:cs="Calibri"/>
                <w:color w:val="auto"/>
                <w:sz w:val="18"/>
                <w:szCs w:val="22"/>
                <w:lang w:val="sv-SE"/>
              </w:rPr>
              <w:t>,0</w:t>
            </w:r>
            <w:r>
              <w:rPr>
                <w:rFonts w:ascii="Calibri" w:hAnsi="Calibri" w:cs="Calibri"/>
                <w:color w:val="auto"/>
                <w:sz w:val="18"/>
                <w:szCs w:val="22"/>
                <w:lang w:val="sv-SE"/>
              </w:rPr>
              <w:t xml:space="preserve">%, in linea con la tendenza degli anni precedenti e </w:t>
            </w:r>
            <w:r w:rsidR="00817985">
              <w:rPr>
                <w:rFonts w:ascii="Calibri" w:hAnsi="Calibri" w:cs="Calibri"/>
                <w:color w:val="auto"/>
                <w:sz w:val="18"/>
                <w:szCs w:val="22"/>
                <w:lang w:val="sv-SE"/>
              </w:rPr>
              <w:t xml:space="preserve">di </w:t>
            </w:r>
            <w:r w:rsidR="00817985">
              <w:rPr>
                <w:rFonts w:ascii="Calibri" w:hAnsi="Calibri" w:cs="Calibri"/>
                <w:color w:val="auto"/>
                <w:sz w:val="18"/>
                <w:szCs w:val="22"/>
                <w:lang w:val="sv-SE"/>
              </w:rPr>
              <w:lastRenderedPageBreak/>
              <w:t>poco superiore al</w:t>
            </w:r>
            <w:r>
              <w:rPr>
                <w:rFonts w:ascii="Calibri" w:hAnsi="Calibri" w:cs="Calibri"/>
                <w:color w:val="auto"/>
                <w:sz w:val="18"/>
                <w:szCs w:val="22"/>
                <w:lang w:val="sv-SE"/>
              </w:rPr>
              <w:t>la media dell’area geografica (88,</w:t>
            </w:r>
            <w:r w:rsidR="00817985">
              <w:rPr>
                <w:rFonts w:ascii="Calibri" w:hAnsi="Calibri" w:cs="Calibri"/>
                <w:color w:val="auto"/>
                <w:sz w:val="18"/>
                <w:szCs w:val="22"/>
                <w:lang w:val="sv-SE"/>
              </w:rPr>
              <w:t>2</w:t>
            </w:r>
            <w:r>
              <w:rPr>
                <w:rFonts w:ascii="Calibri" w:hAnsi="Calibri" w:cs="Calibri"/>
                <w:color w:val="auto"/>
                <w:sz w:val="18"/>
                <w:szCs w:val="22"/>
                <w:lang w:val="sv-SE"/>
              </w:rPr>
              <w:t>%) e nazionale (87,</w:t>
            </w:r>
            <w:r w:rsidR="00817985">
              <w:rPr>
                <w:rFonts w:ascii="Calibri" w:hAnsi="Calibri" w:cs="Calibri"/>
                <w:color w:val="auto"/>
                <w:sz w:val="18"/>
                <w:szCs w:val="22"/>
                <w:lang w:val="sv-SE"/>
              </w:rPr>
              <w:t>8</w:t>
            </w:r>
            <w:r>
              <w:rPr>
                <w:rFonts w:ascii="Calibri" w:hAnsi="Calibri" w:cs="Calibri"/>
                <w:color w:val="auto"/>
                <w:sz w:val="18"/>
                <w:szCs w:val="22"/>
                <w:lang w:val="sv-SE"/>
              </w:rPr>
              <w:t>%) e l’</w:t>
            </w:r>
            <w:r w:rsidRPr="007B48A5">
              <w:rPr>
                <w:rFonts w:ascii="Calibri" w:hAnsi="Calibri" w:cs="Calibri"/>
                <w:b/>
                <w:color w:val="auto"/>
                <w:sz w:val="18"/>
                <w:szCs w:val="22"/>
                <w:lang w:val="sv-SE"/>
              </w:rPr>
              <w:t>Indicatore iC23</w:t>
            </w:r>
            <w:r>
              <w:rPr>
                <w:rFonts w:ascii="Calibri" w:hAnsi="Calibri" w:cs="Calibri"/>
                <w:b/>
                <w:color w:val="auto"/>
                <w:sz w:val="18"/>
                <w:szCs w:val="22"/>
                <w:lang w:val="sv-SE"/>
              </w:rPr>
              <w:t xml:space="preserve"> </w:t>
            </w:r>
            <w:r w:rsidRPr="00702E89">
              <w:rPr>
                <w:rFonts w:ascii="Calibri" w:hAnsi="Calibri" w:cs="Calibri"/>
                <w:color w:val="auto"/>
                <w:sz w:val="18"/>
                <w:szCs w:val="22"/>
                <w:lang w:val="sv-SE"/>
              </w:rPr>
              <w:t>ri</w:t>
            </w:r>
            <w:r>
              <w:rPr>
                <w:rFonts w:ascii="Calibri" w:hAnsi="Calibri" w:cs="Calibri"/>
                <w:color w:val="auto"/>
                <w:sz w:val="18"/>
                <w:szCs w:val="22"/>
                <w:lang w:val="sv-SE"/>
              </w:rPr>
              <w:t>flette</w:t>
            </w:r>
            <w:r w:rsidRPr="00702E89">
              <w:rPr>
                <w:rFonts w:ascii="Calibri" w:hAnsi="Calibri" w:cs="Calibri"/>
                <w:color w:val="auto"/>
                <w:sz w:val="18"/>
                <w:szCs w:val="22"/>
                <w:lang w:val="sv-SE"/>
              </w:rPr>
              <w:t xml:space="preserve"> un andamento </w:t>
            </w:r>
            <w:r w:rsidR="004F1183">
              <w:rPr>
                <w:rFonts w:ascii="Calibri" w:hAnsi="Calibri" w:cs="Calibri"/>
                <w:color w:val="auto"/>
                <w:sz w:val="18"/>
                <w:szCs w:val="22"/>
                <w:lang w:val="sv-SE"/>
              </w:rPr>
              <w:t>lievemente crescente rispetto a</w:t>
            </w:r>
            <w:r w:rsidRPr="00702E89">
              <w:rPr>
                <w:rFonts w:ascii="Calibri" w:hAnsi="Calibri" w:cs="Calibri"/>
                <w:color w:val="auto"/>
                <w:sz w:val="18"/>
                <w:szCs w:val="22"/>
                <w:lang w:val="sv-SE"/>
              </w:rPr>
              <w:t xml:space="preserve">l triennio </w:t>
            </w:r>
            <w:r>
              <w:rPr>
                <w:rFonts w:ascii="Calibri" w:hAnsi="Calibri" w:cs="Calibri"/>
                <w:color w:val="auto"/>
                <w:sz w:val="18"/>
                <w:szCs w:val="22"/>
                <w:lang w:val="sv-SE"/>
              </w:rPr>
              <w:t>201</w:t>
            </w:r>
            <w:r w:rsidR="004F1183">
              <w:rPr>
                <w:rFonts w:ascii="Calibri" w:hAnsi="Calibri" w:cs="Calibri"/>
                <w:color w:val="auto"/>
                <w:sz w:val="18"/>
                <w:szCs w:val="22"/>
                <w:lang w:val="sv-SE"/>
              </w:rPr>
              <w:t>6</w:t>
            </w:r>
            <w:r>
              <w:rPr>
                <w:rFonts w:ascii="Calibri" w:hAnsi="Calibri" w:cs="Calibri"/>
                <w:color w:val="auto"/>
                <w:sz w:val="18"/>
                <w:szCs w:val="22"/>
                <w:lang w:val="sv-SE"/>
              </w:rPr>
              <w:t xml:space="preserve"> </w:t>
            </w:r>
            <w:r w:rsidR="004F1183">
              <w:rPr>
                <w:rFonts w:ascii="Calibri" w:hAnsi="Calibri" w:cs="Calibri"/>
                <w:color w:val="auto"/>
                <w:sz w:val="18"/>
                <w:szCs w:val="22"/>
                <w:lang w:val="sv-SE"/>
              </w:rPr>
              <w:t>–</w:t>
            </w:r>
            <w:r>
              <w:rPr>
                <w:rFonts w:ascii="Calibri" w:hAnsi="Calibri" w:cs="Calibri"/>
                <w:color w:val="auto"/>
                <w:sz w:val="18"/>
                <w:szCs w:val="22"/>
                <w:lang w:val="sv-SE"/>
              </w:rPr>
              <w:t xml:space="preserve"> 201</w:t>
            </w:r>
            <w:r w:rsidR="004F1183">
              <w:rPr>
                <w:rFonts w:ascii="Calibri" w:hAnsi="Calibri" w:cs="Calibri"/>
                <w:color w:val="auto"/>
                <w:sz w:val="18"/>
                <w:szCs w:val="22"/>
                <w:lang w:val="sv-SE"/>
              </w:rPr>
              <w:t>8 (11,3% contro una media circa del 9%)</w:t>
            </w:r>
            <w:r w:rsidRPr="00702E89">
              <w:rPr>
                <w:rFonts w:ascii="Calibri" w:hAnsi="Calibri" w:cs="Calibri"/>
                <w:color w:val="auto"/>
                <w:sz w:val="18"/>
                <w:szCs w:val="22"/>
                <w:lang w:val="sv-SE"/>
              </w:rPr>
              <w:t xml:space="preserve"> degli immatricolati che proseguono la carriera al secondo anno i</w:t>
            </w:r>
            <w:r>
              <w:rPr>
                <w:rFonts w:ascii="Calibri" w:hAnsi="Calibri" w:cs="Calibri"/>
                <w:color w:val="auto"/>
                <w:sz w:val="18"/>
                <w:szCs w:val="22"/>
                <w:lang w:val="sv-SE"/>
              </w:rPr>
              <w:t>n un differente CdS dell’A</w:t>
            </w:r>
            <w:r w:rsidRPr="00702E89">
              <w:rPr>
                <w:rFonts w:ascii="Calibri" w:hAnsi="Calibri" w:cs="Calibri"/>
                <w:color w:val="auto"/>
                <w:sz w:val="18"/>
                <w:szCs w:val="22"/>
                <w:lang w:val="sv-SE"/>
              </w:rPr>
              <w:t>teneo.</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Le percentuali sono superiori </w:t>
            </w:r>
            <w:r w:rsidR="004F1183">
              <w:rPr>
                <w:rFonts w:ascii="Calibri" w:hAnsi="Calibri" w:cs="Calibri"/>
                <w:color w:val="auto"/>
                <w:sz w:val="18"/>
                <w:szCs w:val="22"/>
                <w:lang w:val="sv-SE"/>
              </w:rPr>
              <w:t>di circa il 5% de</w:t>
            </w:r>
            <w:r w:rsidRPr="00702E89">
              <w:rPr>
                <w:rFonts w:ascii="Calibri" w:hAnsi="Calibri" w:cs="Calibri"/>
                <w:color w:val="auto"/>
                <w:sz w:val="18"/>
                <w:szCs w:val="22"/>
                <w:lang w:val="sv-SE"/>
              </w:rPr>
              <w:t>lla media dell’area geografica</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e alla media nazionale</w:t>
            </w:r>
            <w:r>
              <w:rPr>
                <w:rFonts w:ascii="Calibri" w:hAnsi="Calibri" w:cs="Calibri"/>
                <w:color w:val="auto"/>
                <w:sz w:val="18"/>
                <w:szCs w:val="22"/>
                <w:lang w:val="sv-SE"/>
              </w:rPr>
              <w:t xml:space="preserve"> (5</w:t>
            </w:r>
            <w:r w:rsidR="004F1183">
              <w:rPr>
                <w:rFonts w:ascii="Calibri" w:hAnsi="Calibri" w:cs="Calibri"/>
                <w:color w:val="auto"/>
                <w:sz w:val="18"/>
                <w:szCs w:val="22"/>
                <w:lang w:val="sv-SE"/>
              </w:rPr>
              <w:t>,8%</w:t>
            </w:r>
            <w:r>
              <w:rPr>
                <w:rFonts w:ascii="Calibri" w:hAnsi="Calibri" w:cs="Calibri"/>
                <w:color w:val="auto"/>
                <w:sz w:val="18"/>
                <w:szCs w:val="22"/>
                <w:lang w:val="sv-SE"/>
              </w:rPr>
              <w:t xml:space="preserve"> e 6</w:t>
            </w:r>
            <w:r w:rsidR="004F1183">
              <w:rPr>
                <w:rFonts w:ascii="Calibri" w:hAnsi="Calibri" w:cs="Calibri"/>
                <w:color w:val="auto"/>
                <w:sz w:val="18"/>
                <w:szCs w:val="22"/>
                <w:lang w:val="sv-SE"/>
              </w:rPr>
              <w:t>,2</w:t>
            </w:r>
            <w:r>
              <w:rPr>
                <w:rFonts w:ascii="Calibri" w:hAnsi="Calibri" w:cs="Calibri"/>
                <w:color w:val="auto"/>
                <w:sz w:val="18"/>
                <w:szCs w:val="22"/>
                <w:lang w:val="sv-SE"/>
              </w:rPr>
              <w:t>%</w:t>
            </w:r>
            <w:r w:rsidR="004F1183">
              <w:rPr>
                <w:rFonts w:ascii="Calibri" w:hAnsi="Calibri" w:cs="Calibri"/>
                <w:color w:val="auto"/>
                <w:sz w:val="18"/>
                <w:szCs w:val="22"/>
                <w:lang w:val="sv-SE"/>
              </w:rPr>
              <w:t xml:space="preserve"> nel 2018</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w:t>
            </w:r>
          </w:p>
          <w:p w:rsidRPr="00702E89" w:rsidR="00431963" w:rsidP="00431963" w:rsidRDefault="00431963" w14:paraId="3A121E2D" w14:textId="23EF487D">
            <w:pPr>
              <w:pStyle w:val="Default"/>
              <w:mirrorIndents/>
              <w:jc w:val="both"/>
              <w:rPr>
                <w:rFonts w:ascii="Calibri" w:hAnsi="Calibri" w:cs="Calibri"/>
                <w:color w:val="auto"/>
                <w:sz w:val="18"/>
                <w:szCs w:val="22"/>
                <w:lang w:val="sv-SE"/>
              </w:rPr>
            </w:pPr>
            <w:r>
              <w:rPr>
                <w:rFonts w:ascii="Calibri" w:hAnsi="Calibri" w:cs="Calibri"/>
                <w:color w:val="auto"/>
                <w:sz w:val="18"/>
                <w:szCs w:val="22"/>
                <w:lang w:val="sv-SE"/>
              </w:rPr>
              <w:t>In merito ai dati appena esposti</w:t>
            </w:r>
            <w:r w:rsidR="00356D91">
              <w:rPr>
                <w:rFonts w:ascii="Calibri" w:hAnsi="Calibri" w:cs="Calibri"/>
                <w:color w:val="auto"/>
                <w:sz w:val="18"/>
                <w:szCs w:val="22"/>
                <w:lang w:val="sv-SE"/>
              </w:rPr>
              <w:t>,</w:t>
            </w:r>
            <w:r>
              <w:rPr>
                <w:rFonts w:ascii="Calibri" w:hAnsi="Calibri" w:cs="Calibri"/>
                <w:color w:val="auto"/>
                <w:sz w:val="18"/>
                <w:szCs w:val="22"/>
                <w:lang w:val="sv-SE"/>
              </w:rPr>
              <w:t xml:space="preserve"> il CdS si propone di proseguire ed intensificare l</w:t>
            </w:r>
            <w:r w:rsidRPr="00702E89">
              <w:rPr>
                <w:rFonts w:ascii="Calibri" w:hAnsi="Calibri" w:cs="Calibri"/>
                <w:color w:val="auto"/>
                <w:sz w:val="18"/>
                <w:szCs w:val="22"/>
                <w:lang w:val="sv-SE"/>
              </w:rPr>
              <w:t>e azioni correttive intraprese</w:t>
            </w:r>
            <w:r>
              <w:rPr>
                <w:rFonts w:ascii="Calibri" w:hAnsi="Calibri" w:cs="Calibri"/>
                <w:color w:val="auto"/>
                <w:sz w:val="18"/>
                <w:szCs w:val="22"/>
                <w:lang w:val="sv-SE"/>
              </w:rPr>
              <w:t>, che</w:t>
            </w:r>
            <w:r w:rsidRPr="00702E89">
              <w:rPr>
                <w:rFonts w:ascii="Calibri" w:hAnsi="Calibri" w:cs="Calibri"/>
                <w:color w:val="auto"/>
                <w:sz w:val="18"/>
                <w:szCs w:val="22"/>
                <w:lang w:val="sv-SE"/>
              </w:rPr>
              <w:t xml:space="preserve"> sono le </w:t>
            </w:r>
            <w:r>
              <w:rPr>
                <w:rFonts w:ascii="Calibri" w:hAnsi="Calibri" w:cs="Calibri"/>
                <w:color w:val="auto"/>
                <w:sz w:val="18"/>
                <w:szCs w:val="22"/>
                <w:lang w:val="sv-SE"/>
              </w:rPr>
              <w:t xml:space="preserve">stesse </w:t>
            </w:r>
            <w:r w:rsidRPr="00702E89">
              <w:rPr>
                <w:rFonts w:ascii="Calibri" w:hAnsi="Calibri" w:cs="Calibri"/>
                <w:color w:val="auto"/>
                <w:sz w:val="18"/>
                <w:szCs w:val="22"/>
                <w:lang w:val="sv-SE"/>
              </w:rPr>
              <w:t xml:space="preserve">descritte in precedenza in sede di commento agli indicatori </w:t>
            </w:r>
            <w:r>
              <w:rPr>
                <w:rFonts w:ascii="Calibri" w:hAnsi="Calibri" w:cs="Calibri"/>
                <w:color w:val="auto"/>
                <w:sz w:val="18"/>
                <w:szCs w:val="22"/>
                <w:lang w:val="sv-SE"/>
              </w:rPr>
              <w:t>sull’Attrattività</w:t>
            </w:r>
            <w:r w:rsidRPr="00702E89">
              <w:rPr>
                <w:rFonts w:ascii="Calibri" w:hAnsi="Calibri" w:cs="Calibri"/>
                <w:color w:val="auto"/>
                <w:sz w:val="18"/>
                <w:szCs w:val="22"/>
                <w:lang w:val="sv-SE"/>
              </w:rPr>
              <w:t xml:space="preserve">. </w:t>
            </w:r>
          </w:p>
          <w:p w:rsidR="00431963" w:rsidP="00431963" w:rsidRDefault="00431963" w14:paraId="641C6DC7" w14:textId="0CC2921D">
            <w:pPr>
              <w:pStyle w:val="Default"/>
              <w:mirrorIndents/>
              <w:jc w:val="both"/>
              <w:rPr>
                <w:rFonts w:ascii="Calibri" w:hAnsi="Calibri" w:cs="Calibri"/>
                <w:color w:val="auto"/>
                <w:sz w:val="18"/>
                <w:szCs w:val="22"/>
                <w:lang w:val="sv-SE"/>
              </w:rPr>
            </w:pPr>
            <w:r w:rsidRPr="007B48A5">
              <w:rPr>
                <w:rFonts w:ascii="Calibri" w:hAnsi="Calibri" w:cs="Calibri"/>
                <w:b/>
                <w:color w:val="auto"/>
                <w:sz w:val="18"/>
                <w:szCs w:val="22"/>
                <w:lang w:val="sv-SE"/>
              </w:rPr>
              <w:t>Indicatore iC24</w:t>
            </w:r>
            <w:r>
              <w:rPr>
                <w:rFonts w:ascii="Calibri" w:hAnsi="Calibri" w:cs="Calibri"/>
                <w:color w:val="auto"/>
                <w:sz w:val="18"/>
                <w:szCs w:val="22"/>
                <w:lang w:val="sv-SE"/>
              </w:rPr>
              <w:t>: il</w:t>
            </w:r>
            <w:r w:rsidRPr="00702E89">
              <w:rPr>
                <w:rFonts w:ascii="Calibri" w:hAnsi="Calibri" w:cs="Calibri"/>
                <w:color w:val="auto"/>
                <w:sz w:val="18"/>
                <w:szCs w:val="22"/>
                <w:lang w:val="sv-SE"/>
              </w:rPr>
              <w:t xml:space="preserve"> dat</w:t>
            </w:r>
            <w:r>
              <w:rPr>
                <w:rFonts w:ascii="Calibri" w:hAnsi="Calibri" w:cs="Calibri"/>
                <w:color w:val="auto"/>
                <w:sz w:val="18"/>
                <w:szCs w:val="22"/>
                <w:lang w:val="sv-SE"/>
              </w:rPr>
              <w:t>o</w:t>
            </w:r>
            <w:r w:rsidRPr="00702E89">
              <w:rPr>
                <w:rFonts w:ascii="Calibri" w:hAnsi="Calibri" w:cs="Calibri"/>
                <w:color w:val="auto"/>
                <w:sz w:val="18"/>
                <w:szCs w:val="22"/>
                <w:lang w:val="sv-SE"/>
              </w:rPr>
              <w:t xml:space="preserve"> per il 201</w:t>
            </w:r>
            <w:r>
              <w:rPr>
                <w:rFonts w:ascii="Calibri" w:hAnsi="Calibri" w:cs="Calibri"/>
                <w:color w:val="auto"/>
                <w:sz w:val="18"/>
                <w:szCs w:val="22"/>
                <w:lang w:val="sv-SE"/>
              </w:rPr>
              <w:t>8</w:t>
            </w:r>
            <w:r w:rsidRPr="00702E89">
              <w:rPr>
                <w:rFonts w:ascii="Calibri" w:hAnsi="Calibri" w:cs="Calibri"/>
                <w:color w:val="auto"/>
                <w:sz w:val="18"/>
                <w:szCs w:val="22"/>
                <w:lang w:val="sv-SE"/>
              </w:rPr>
              <w:t xml:space="preserve"> </w:t>
            </w:r>
            <w:r w:rsidR="00356D91">
              <w:rPr>
                <w:rFonts w:ascii="Calibri" w:hAnsi="Calibri" w:cs="Calibri"/>
                <w:color w:val="auto"/>
                <w:sz w:val="18"/>
                <w:szCs w:val="22"/>
                <w:lang w:val="sv-SE"/>
              </w:rPr>
              <w:t xml:space="preserve">(ultimo dato di riferimento) </w:t>
            </w:r>
            <w:r>
              <w:rPr>
                <w:rFonts w:ascii="Calibri" w:hAnsi="Calibri" w:cs="Calibri"/>
                <w:color w:val="auto"/>
                <w:sz w:val="18"/>
                <w:szCs w:val="22"/>
                <w:lang w:val="sv-SE"/>
              </w:rPr>
              <w:t>rivela una importante controtendenza rispetto al dato dell’anno precedente (40,3% nel 2018 contro 4</w:t>
            </w:r>
            <w:r w:rsidR="00356D91">
              <w:rPr>
                <w:rFonts w:ascii="Calibri" w:hAnsi="Calibri" w:cs="Calibri"/>
                <w:color w:val="auto"/>
                <w:sz w:val="18"/>
                <w:szCs w:val="22"/>
                <w:lang w:val="sv-SE"/>
              </w:rPr>
              <w:t>2</w:t>
            </w:r>
            <w:r>
              <w:rPr>
                <w:rFonts w:ascii="Calibri" w:hAnsi="Calibri" w:cs="Calibri"/>
                <w:color w:val="auto"/>
                <w:sz w:val="18"/>
                <w:szCs w:val="22"/>
                <w:lang w:val="sv-SE"/>
              </w:rPr>
              <w:t>,</w:t>
            </w:r>
            <w:r w:rsidR="00356D91">
              <w:rPr>
                <w:rFonts w:ascii="Calibri" w:hAnsi="Calibri" w:cs="Calibri"/>
                <w:color w:val="auto"/>
                <w:sz w:val="18"/>
                <w:szCs w:val="22"/>
                <w:lang w:val="sv-SE"/>
              </w:rPr>
              <w:t>9</w:t>
            </w:r>
            <w:r>
              <w:rPr>
                <w:rFonts w:ascii="Calibri" w:hAnsi="Calibri" w:cs="Calibri"/>
                <w:color w:val="auto"/>
                <w:sz w:val="18"/>
                <w:szCs w:val="22"/>
                <w:lang w:val="sv-SE"/>
              </w:rPr>
              <w:t xml:space="preserve">% nel 2017) </w:t>
            </w:r>
            <w:r w:rsidRPr="00702E89">
              <w:rPr>
                <w:rFonts w:ascii="Calibri" w:hAnsi="Calibri" w:cs="Calibri"/>
                <w:color w:val="auto"/>
                <w:sz w:val="18"/>
                <w:szCs w:val="22"/>
                <w:lang w:val="sv-SE"/>
              </w:rPr>
              <w:t>d</w:t>
            </w:r>
            <w:r>
              <w:rPr>
                <w:rFonts w:ascii="Calibri" w:hAnsi="Calibri" w:cs="Calibri"/>
                <w:color w:val="auto"/>
                <w:sz w:val="18"/>
                <w:szCs w:val="22"/>
                <w:lang w:val="sv-SE"/>
              </w:rPr>
              <w:t>egl</w:t>
            </w:r>
            <w:r w:rsidRPr="00702E89">
              <w:rPr>
                <w:rFonts w:ascii="Calibri" w:hAnsi="Calibri" w:cs="Calibri"/>
                <w:color w:val="auto"/>
                <w:sz w:val="18"/>
                <w:szCs w:val="22"/>
                <w:lang w:val="sv-SE"/>
              </w:rPr>
              <w:t>i studenti immatricolati che hanno abbandonato il CdS senza conseguire il titolo finale; risulta</w:t>
            </w:r>
            <w:r>
              <w:rPr>
                <w:rFonts w:ascii="Calibri" w:hAnsi="Calibri" w:cs="Calibri"/>
                <w:color w:val="auto"/>
                <w:sz w:val="18"/>
                <w:szCs w:val="22"/>
                <w:lang w:val="sv-SE"/>
              </w:rPr>
              <w:t xml:space="preserve"> i</w:t>
            </w:r>
            <w:r w:rsidRPr="00702E89">
              <w:rPr>
                <w:rFonts w:ascii="Calibri" w:hAnsi="Calibri" w:cs="Calibri"/>
                <w:color w:val="auto"/>
                <w:sz w:val="18"/>
                <w:szCs w:val="22"/>
                <w:lang w:val="sv-SE"/>
              </w:rPr>
              <w:t>no</w:t>
            </w:r>
            <w:r>
              <w:rPr>
                <w:rFonts w:ascii="Calibri" w:hAnsi="Calibri" w:cs="Calibri"/>
                <w:color w:val="auto"/>
                <w:sz w:val="18"/>
                <w:szCs w:val="22"/>
                <w:lang w:val="sv-SE"/>
              </w:rPr>
              <w:t>ltre</w:t>
            </w:r>
            <w:r w:rsidRPr="00702E89">
              <w:rPr>
                <w:rFonts w:ascii="Calibri" w:hAnsi="Calibri" w:cs="Calibri"/>
                <w:color w:val="auto"/>
                <w:sz w:val="18"/>
                <w:szCs w:val="22"/>
                <w:lang w:val="sv-SE"/>
              </w:rPr>
              <w:t xml:space="preserve"> inferior</w:t>
            </w:r>
            <w:r>
              <w:rPr>
                <w:rFonts w:ascii="Calibri" w:hAnsi="Calibri" w:cs="Calibri"/>
                <w:color w:val="auto"/>
                <w:sz w:val="18"/>
                <w:szCs w:val="22"/>
                <w:lang w:val="sv-SE"/>
              </w:rPr>
              <w:t>e</w:t>
            </w:r>
            <w:r w:rsidRPr="00702E89">
              <w:rPr>
                <w:rFonts w:ascii="Calibri" w:hAnsi="Calibri" w:cs="Calibri"/>
                <w:color w:val="auto"/>
                <w:sz w:val="18"/>
                <w:szCs w:val="22"/>
                <w:lang w:val="sv-SE"/>
              </w:rPr>
              <w:t xml:space="preserve"> sia alla media dell’area geografica di riferimento </w:t>
            </w:r>
            <w:r>
              <w:rPr>
                <w:rFonts w:ascii="Calibri" w:hAnsi="Calibri" w:cs="Calibri"/>
                <w:color w:val="auto"/>
                <w:sz w:val="18"/>
                <w:szCs w:val="22"/>
                <w:lang w:val="sv-SE"/>
              </w:rPr>
              <w:t>(43,</w:t>
            </w:r>
            <w:r w:rsidR="00356D91">
              <w:rPr>
                <w:rFonts w:ascii="Calibri" w:hAnsi="Calibri" w:cs="Calibri"/>
                <w:color w:val="auto"/>
                <w:sz w:val="18"/>
                <w:szCs w:val="22"/>
                <w:lang w:val="sv-SE"/>
              </w:rPr>
              <w:t>4</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che alla media nazionale</w:t>
            </w:r>
            <w:r>
              <w:rPr>
                <w:rFonts w:ascii="Calibri" w:hAnsi="Calibri" w:cs="Calibri"/>
                <w:color w:val="auto"/>
                <w:sz w:val="18"/>
                <w:szCs w:val="22"/>
                <w:lang w:val="sv-SE"/>
              </w:rPr>
              <w:t xml:space="preserve"> (44,</w:t>
            </w:r>
            <w:r w:rsidR="00356D91">
              <w:rPr>
                <w:rFonts w:ascii="Calibri" w:hAnsi="Calibri" w:cs="Calibri"/>
                <w:color w:val="auto"/>
                <w:sz w:val="18"/>
                <w:szCs w:val="22"/>
                <w:lang w:val="sv-SE"/>
              </w:rPr>
              <w:t>0</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Il CdS </w:t>
            </w:r>
            <w:r>
              <w:rPr>
                <w:rFonts w:ascii="Calibri" w:hAnsi="Calibri" w:cs="Calibri"/>
                <w:color w:val="auto"/>
                <w:sz w:val="18"/>
                <w:szCs w:val="22"/>
                <w:lang w:val="sv-SE"/>
              </w:rPr>
              <w:t xml:space="preserve">registra pertanto una moderata soddisfazione, impegnandosi a continuare ed a rafforzare le </w:t>
            </w:r>
            <w:r w:rsidRPr="00702E89">
              <w:rPr>
                <w:rFonts w:ascii="Calibri" w:hAnsi="Calibri" w:cs="Calibri"/>
                <w:color w:val="auto"/>
                <w:sz w:val="18"/>
                <w:szCs w:val="22"/>
                <w:lang w:val="sv-SE"/>
              </w:rPr>
              <w:t xml:space="preserve">azioni correttive </w:t>
            </w:r>
            <w:r>
              <w:rPr>
                <w:rFonts w:ascii="Calibri" w:hAnsi="Calibri" w:cs="Calibri"/>
                <w:color w:val="auto"/>
                <w:sz w:val="18"/>
                <w:szCs w:val="22"/>
                <w:lang w:val="sv-SE"/>
              </w:rPr>
              <w:t xml:space="preserve">intraprese </w:t>
            </w:r>
            <w:r w:rsidRPr="00702E89">
              <w:rPr>
                <w:rFonts w:ascii="Calibri" w:hAnsi="Calibri" w:cs="Calibri"/>
                <w:color w:val="auto"/>
                <w:sz w:val="18"/>
                <w:szCs w:val="22"/>
                <w:lang w:val="sv-SE"/>
              </w:rPr>
              <w:t xml:space="preserve">descritte </w:t>
            </w:r>
            <w:r>
              <w:rPr>
                <w:rFonts w:ascii="Calibri" w:hAnsi="Calibri" w:cs="Calibri"/>
                <w:color w:val="auto"/>
                <w:sz w:val="18"/>
                <w:szCs w:val="22"/>
                <w:lang w:val="sv-SE"/>
              </w:rPr>
              <w:t xml:space="preserve">in sede di commento </w:t>
            </w:r>
            <w:r w:rsidRPr="00702E89">
              <w:rPr>
                <w:rFonts w:ascii="Calibri" w:hAnsi="Calibri" w:cs="Calibri"/>
                <w:color w:val="auto"/>
                <w:sz w:val="18"/>
                <w:szCs w:val="22"/>
                <w:lang w:val="sv-SE"/>
              </w:rPr>
              <w:t xml:space="preserve">agli indicatori </w:t>
            </w:r>
            <w:r>
              <w:rPr>
                <w:rFonts w:ascii="Calibri" w:hAnsi="Calibri" w:cs="Calibri"/>
                <w:color w:val="auto"/>
                <w:sz w:val="18"/>
                <w:szCs w:val="22"/>
                <w:lang w:val="sv-SE"/>
              </w:rPr>
              <w:t>sull’Attrattività e sulla Regolarità degli studi e Produttività degli iscritti.</w:t>
            </w:r>
          </w:p>
          <w:p w:rsidR="00431963" w:rsidP="00431963" w:rsidRDefault="00431963" w14:paraId="31AC456F" w14:textId="77777777">
            <w:pPr>
              <w:pStyle w:val="Default"/>
              <w:mirrorIndents/>
              <w:jc w:val="both"/>
              <w:rPr>
                <w:rFonts w:ascii="Calibri" w:hAnsi="Calibri" w:cs="Calibri"/>
                <w:color w:val="auto"/>
                <w:sz w:val="18"/>
                <w:szCs w:val="22"/>
                <w:lang w:val="sv-SE"/>
              </w:rPr>
            </w:pPr>
          </w:p>
          <w:p w:rsidRPr="00242622" w:rsidR="00431963" w:rsidP="00431963" w:rsidRDefault="00431963" w14:paraId="38F07A82" w14:textId="77777777">
            <w:pPr>
              <w:pStyle w:val="Default"/>
              <w:mirrorIndents/>
              <w:jc w:val="both"/>
              <w:rPr>
                <w:rFonts w:ascii="Calibri" w:hAnsi="Calibri" w:cs="Calibri"/>
                <w:b/>
                <w:color w:val="auto"/>
                <w:sz w:val="18"/>
                <w:szCs w:val="22"/>
                <w:lang w:val="sv-SE"/>
              </w:rPr>
            </w:pPr>
            <w:r w:rsidRPr="00242622">
              <w:rPr>
                <w:rFonts w:ascii="Calibri" w:hAnsi="Calibri" w:cs="Calibri"/>
                <w:b/>
                <w:color w:val="auto"/>
                <w:sz w:val="18"/>
                <w:szCs w:val="22"/>
                <w:lang w:val="sv-SE"/>
              </w:rPr>
              <w:t>Indicatori sulla Regolarità degli studi e Produttività degli iscritti</w:t>
            </w:r>
          </w:p>
          <w:p w:rsidRPr="00BE3095" w:rsidR="00431963" w:rsidP="00431963" w:rsidRDefault="00431963" w14:paraId="7C989621" w14:textId="77777777">
            <w:pPr>
              <w:pStyle w:val="Default"/>
              <w:mirrorIndents/>
              <w:jc w:val="both"/>
              <w:rPr>
                <w:rFonts w:ascii="Calibri" w:hAnsi="Calibri" w:cs="Calibri"/>
                <w:color w:val="auto"/>
                <w:sz w:val="18"/>
                <w:szCs w:val="22"/>
                <w:lang w:val="sv-SE"/>
              </w:rPr>
            </w:pPr>
            <w:r w:rsidRPr="00242622">
              <w:rPr>
                <w:rFonts w:ascii="Calibri" w:hAnsi="Calibri" w:cs="Calibri"/>
                <w:color w:val="auto"/>
                <w:sz w:val="18"/>
                <w:szCs w:val="22"/>
                <w:lang w:val="sv-SE"/>
              </w:rPr>
              <w:t>Indicatori iC00d, iC01, iC15, iC16, iC13 e iC10.</w:t>
            </w:r>
          </w:p>
          <w:p w:rsidR="00431963" w:rsidP="00431963" w:rsidRDefault="00431963" w14:paraId="04C46614" w14:textId="77777777">
            <w:pPr>
              <w:pStyle w:val="Default"/>
              <w:mirrorIndents/>
              <w:jc w:val="both"/>
              <w:rPr>
                <w:rFonts w:ascii="Calibri" w:hAnsi="Calibri" w:cs="Calibri"/>
                <w:color w:val="auto"/>
                <w:sz w:val="18"/>
                <w:szCs w:val="22"/>
                <w:lang w:val="sv-SE"/>
              </w:rPr>
            </w:pPr>
          </w:p>
          <w:p w:rsidR="00431963" w:rsidP="00431963" w:rsidRDefault="00431963" w14:paraId="7D8CCAEE" w14:textId="79C43C9C">
            <w:pPr>
              <w:pStyle w:val="Default"/>
              <w:mirrorIndents/>
              <w:jc w:val="both"/>
              <w:rPr>
                <w:rFonts w:ascii="Calibri" w:hAnsi="Calibri" w:cs="Calibri"/>
                <w:color w:val="auto"/>
                <w:sz w:val="18"/>
                <w:szCs w:val="22"/>
                <w:lang w:val="sv-SE"/>
              </w:rPr>
            </w:pPr>
            <w:r>
              <w:rPr>
                <w:rFonts w:ascii="Calibri" w:hAnsi="Calibri" w:cs="Calibri"/>
                <w:color w:val="auto"/>
                <w:sz w:val="18"/>
                <w:szCs w:val="22"/>
                <w:lang w:val="sv-SE"/>
              </w:rPr>
              <w:t>I dati dell’</w:t>
            </w:r>
            <w:r w:rsidRPr="00416016">
              <w:rPr>
                <w:rFonts w:ascii="Calibri" w:hAnsi="Calibri" w:cs="Calibri"/>
                <w:b/>
                <w:color w:val="auto"/>
                <w:sz w:val="18"/>
                <w:szCs w:val="22"/>
                <w:lang w:val="sv-SE"/>
              </w:rPr>
              <w:t>indicatore</w:t>
            </w:r>
            <w:r>
              <w:rPr>
                <w:rFonts w:ascii="Calibri" w:hAnsi="Calibri" w:cs="Calibri"/>
                <w:color w:val="auto"/>
                <w:sz w:val="18"/>
                <w:szCs w:val="22"/>
                <w:lang w:val="sv-SE"/>
              </w:rPr>
              <w:t xml:space="preserve"> </w:t>
            </w:r>
            <w:r w:rsidRPr="00416016">
              <w:rPr>
                <w:rFonts w:ascii="Calibri" w:hAnsi="Calibri" w:cs="Calibri"/>
                <w:b/>
                <w:color w:val="auto"/>
                <w:sz w:val="18"/>
                <w:szCs w:val="22"/>
                <w:lang w:val="sv-SE"/>
              </w:rPr>
              <w:t>iC00d</w:t>
            </w:r>
            <w:r>
              <w:rPr>
                <w:rFonts w:ascii="Calibri" w:hAnsi="Calibri" w:cs="Calibri"/>
                <w:color w:val="auto"/>
                <w:sz w:val="18"/>
                <w:szCs w:val="22"/>
                <w:lang w:val="sv-SE"/>
              </w:rPr>
              <w:t xml:space="preserve"> sul numero degli iscritti si sono già trattati nell’ambito dell’Attrattività. Essi comunque si presentano nel 201</w:t>
            </w:r>
            <w:r w:rsidR="00242622">
              <w:rPr>
                <w:rFonts w:ascii="Calibri" w:hAnsi="Calibri" w:cs="Calibri"/>
                <w:color w:val="auto"/>
                <w:sz w:val="18"/>
                <w:szCs w:val="22"/>
                <w:lang w:val="sv-SE"/>
              </w:rPr>
              <w:t>9</w:t>
            </w:r>
            <w:r>
              <w:rPr>
                <w:rFonts w:ascii="Calibri" w:hAnsi="Calibri" w:cs="Calibri"/>
                <w:color w:val="auto"/>
                <w:sz w:val="18"/>
                <w:szCs w:val="22"/>
                <w:lang w:val="sv-SE"/>
              </w:rPr>
              <w:t xml:space="preserve"> decisamente migliori </w:t>
            </w:r>
            <w:r w:rsidRPr="00702E89">
              <w:rPr>
                <w:rFonts w:ascii="Calibri" w:hAnsi="Calibri" w:cs="Calibri"/>
                <w:color w:val="auto"/>
                <w:sz w:val="18"/>
                <w:szCs w:val="22"/>
                <w:lang w:val="sv-SE"/>
              </w:rPr>
              <w:t xml:space="preserve">rispetto sia alla media dell’area geografica di riferimento </w:t>
            </w:r>
            <w:r>
              <w:rPr>
                <w:rFonts w:ascii="Calibri" w:hAnsi="Calibri" w:cs="Calibri"/>
                <w:color w:val="auto"/>
                <w:sz w:val="18"/>
                <w:szCs w:val="22"/>
                <w:lang w:val="sv-SE"/>
              </w:rPr>
              <w:t>(2</w:t>
            </w:r>
            <w:r w:rsidR="00242622">
              <w:rPr>
                <w:rFonts w:ascii="Calibri" w:hAnsi="Calibri" w:cs="Calibri"/>
                <w:color w:val="auto"/>
                <w:sz w:val="18"/>
                <w:szCs w:val="22"/>
                <w:lang w:val="sv-SE"/>
              </w:rPr>
              <w:t>460</w:t>
            </w:r>
            <w:r>
              <w:rPr>
                <w:rFonts w:ascii="Calibri" w:hAnsi="Calibri" w:cs="Calibri"/>
                <w:color w:val="auto"/>
                <w:sz w:val="18"/>
                <w:szCs w:val="22"/>
                <w:lang w:val="sv-SE"/>
              </w:rPr>
              <w:t xml:space="preserve"> iscritti contro 12</w:t>
            </w:r>
            <w:r w:rsidR="00242622">
              <w:rPr>
                <w:rFonts w:ascii="Calibri" w:hAnsi="Calibri" w:cs="Calibri"/>
                <w:color w:val="auto"/>
                <w:sz w:val="18"/>
                <w:szCs w:val="22"/>
                <w:lang w:val="sv-SE"/>
              </w:rPr>
              <w:t>25</w:t>
            </w:r>
            <w:r>
              <w:rPr>
                <w:rFonts w:ascii="Calibri" w:hAnsi="Calibri" w:cs="Calibri"/>
                <w:color w:val="auto"/>
                <w:sz w:val="18"/>
                <w:szCs w:val="22"/>
                <w:lang w:val="sv-SE"/>
              </w:rPr>
              <w:t>,</w:t>
            </w:r>
            <w:r w:rsidR="00242622">
              <w:rPr>
                <w:rFonts w:ascii="Calibri" w:hAnsi="Calibri" w:cs="Calibri"/>
                <w:color w:val="auto"/>
                <w:sz w:val="18"/>
                <w:szCs w:val="22"/>
                <w:lang w:val="sv-SE"/>
              </w:rPr>
              <w:t>5</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che alla media nazionale</w:t>
            </w:r>
            <w:r>
              <w:rPr>
                <w:rFonts w:ascii="Calibri" w:hAnsi="Calibri" w:cs="Calibri"/>
                <w:color w:val="auto"/>
                <w:sz w:val="18"/>
                <w:szCs w:val="22"/>
                <w:lang w:val="sv-SE"/>
              </w:rPr>
              <w:t xml:space="preserve"> (2</w:t>
            </w:r>
            <w:r w:rsidR="00242622">
              <w:rPr>
                <w:rFonts w:ascii="Calibri" w:hAnsi="Calibri" w:cs="Calibri"/>
                <w:color w:val="auto"/>
                <w:sz w:val="18"/>
                <w:szCs w:val="22"/>
                <w:lang w:val="sv-SE"/>
              </w:rPr>
              <w:t>460</w:t>
            </w:r>
            <w:r>
              <w:rPr>
                <w:rFonts w:ascii="Calibri" w:hAnsi="Calibri" w:cs="Calibri"/>
                <w:color w:val="auto"/>
                <w:sz w:val="18"/>
                <w:szCs w:val="22"/>
                <w:lang w:val="sv-SE"/>
              </w:rPr>
              <w:t xml:space="preserve"> iscritti contro 1</w:t>
            </w:r>
            <w:r w:rsidR="00242622">
              <w:rPr>
                <w:rFonts w:ascii="Calibri" w:hAnsi="Calibri" w:cs="Calibri"/>
                <w:color w:val="auto"/>
                <w:sz w:val="18"/>
                <w:szCs w:val="22"/>
                <w:lang w:val="sv-SE"/>
              </w:rPr>
              <w:t>334</w:t>
            </w:r>
            <w:r>
              <w:rPr>
                <w:rFonts w:ascii="Calibri" w:hAnsi="Calibri" w:cs="Calibri"/>
                <w:color w:val="auto"/>
                <w:sz w:val="18"/>
                <w:szCs w:val="22"/>
                <w:lang w:val="sv-SE"/>
              </w:rPr>
              <w:t>,</w:t>
            </w:r>
            <w:r w:rsidR="00242622">
              <w:rPr>
                <w:rFonts w:ascii="Calibri" w:hAnsi="Calibri" w:cs="Calibri"/>
                <w:color w:val="auto"/>
                <w:sz w:val="18"/>
                <w:szCs w:val="22"/>
                <w:lang w:val="sv-SE"/>
              </w:rPr>
              <w:t>5</w:t>
            </w:r>
            <w:r>
              <w:rPr>
                <w:rFonts w:ascii="Calibri" w:hAnsi="Calibri" w:cs="Calibri"/>
                <w:color w:val="auto"/>
                <w:sz w:val="18"/>
                <w:szCs w:val="22"/>
                <w:lang w:val="sv-SE"/>
              </w:rPr>
              <w:t>)</w:t>
            </w:r>
            <w:r w:rsidRPr="00702E89">
              <w:rPr>
                <w:rFonts w:ascii="Calibri" w:hAnsi="Calibri" w:cs="Calibri"/>
                <w:color w:val="auto"/>
                <w:sz w:val="18"/>
                <w:szCs w:val="22"/>
                <w:lang w:val="sv-SE"/>
              </w:rPr>
              <w:t>.</w:t>
            </w:r>
            <w:r>
              <w:rPr>
                <w:rFonts w:ascii="Calibri" w:hAnsi="Calibri" w:cs="Calibri"/>
                <w:color w:val="auto"/>
                <w:sz w:val="18"/>
                <w:szCs w:val="22"/>
                <w:lang w:val="sv-SE"/>
              </w:rPr>
              <w:t xml:space="preserve"> In relazione all’</w:t>
            </w:r>
            <w:r w:rsidRPr="00416016">
              <w:rPr>
                <w:rFonts w:ascii="Calibri" w:hAnsi="Calibri" w:cs="Calibri"/>
                <w:b/>
                <w:color w:val="auto"/>
                <w:sz w:val="18"/>
                <w:szCs w:val="22"/>
                <w:lang w:val="sv-SE"/>
              </w:rPr>
              <w:t>indicatore</w:t>
            </w:r>
            <w:r>
              <w:rPr>
                <w:rFonts w:ascii="Calibri" w:hAnsi="Calibri" w:cs="Calibri"/>
                <w:color w:val="auto"/>
                <w:sz w:val="18"/>
                <w:szCs w:val="22"/>
                <w:lang w:val="sv-SE"/>
              </w:rPr>
              <w:t xml:space="preserve"> </w:t>
            </w:r>
            <w:r w:rsidRPr="00416016">
              <w:rPr>
                <w:rFonts w:ascii="Calibri" w:hAnsi="Calibri" w:cs="Calibri"/>
                <w:b/>
                <w:color w:val="auto"/>
                <w:sz w:val="18"/>
                <w:szCs w:val="22"/>
                <w:lang w:val="sv-SE"/>
              </w:rPr>
              <w:t>iC01</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dop</w:t>
            </w:r>
            <w:r w:rsidRPr="00702E89">
              <w:rPr>
                <w:rFonts w:ascii="Calibri" w:hAnsi="Calibri" w:cs="Calibri"/>
                <w:color w:val="auto"/>
                <w:sz w:val="18"/>
                <w:szCs w:val="22"/>
                <w:lang w:val="sv-SE"/>
              </w:rPr>
              <w:t xml:space="preserve">o i dati del 2015 e 2016, che </w:t>
            </w:r>
            <w:r>
              <w:rPr>
                <w:rFonts w:ascii="Calibri" w:hAnsi="Calibri" w:cs="Calibri"/>
                <w:color w:val="auto"/>
                <w:sz w:val="18"/>
                <w:szCs w:val="22"/>
                <w:lang w:val="sv-SE"/>
              </w:rPr>
              <w:t>hanno vist</w:t>
            </w:r>
            <w:r w:rsidRPr="00702E89">
              <w:rPr>
                <w:rFonts w:ascii="Calibri" w:hAnsi="Calibri" w:cs="Calibri"/>
                <w:color w:val="auto"/>
                <w:sz w:val="18"/>
                <w:szCs w:val="22"/>
                <w:lang w:val="sv-SE"/>
              </w:rPr>
              <w:t>o un forte calo della percentuale di studenti in corso che abbiano acquisito almeno 40cfu nell’anno solare</w:t>
            </w:r>
            <w:r>
              <w:rPr>
                <w:rFonts w:ascii="Calibri" w:hAnsi="Calibri" w:cs="Calibri"/>
                <w:color w:val="auto"/>
                <w:sz w:val="18"/>
                <w:szCs w:val="22"/>
                <w:lang w:val="sv-SE"/>
              </w:rPr>
              <w:t>, il 201</w:t>
            </w:r>
            <w:r w:rsidR="00CA74D5">
              <w:rPr>
                <w:rFonts w:ascii="Calibri" w:hAnsi="Calibri" w:cs="Calibri"/>
                <w:color w:val="auto"/>
                <w:sz w:val="18"/>
                <w:szCs w:val="22"/>
                <w:lang w:val="sv-SE"/>
              </w:rPr>
              <w:t>8</w:t>
            </w:r>
            <w:r>
              <w:rPr>
                <w:rFonts w:ascii="Calibri" w:hAnsi="Calibri" w:cs="Calibri"/>
                <w:color w:val="auto"/>
                <w:sz w:val="18"/>
                <w:szCs w:val="22"/>
                <w:lang w:val="sv-SE"/>
              </w:rPr>
              <w:t xml:space="preserve"> (ultimo anno di riferimento) ha invece registrato una considerevole inversione di tendenza con una percentuale del 3</w:t>
            </w:r>
            <w:r w:rsidR="00CA74D5">
              <w:rPr>
                <w:rFonts w:ascii="Calibri" w:hAnsi="Calibri" w:cs="Calibri"/>
                <w:color w:val="auto"/>
                <w:sz w:val="18"/>
                <w:szCs w:val="22"/>
                <w:lang w:val="sv-SE"/>
              </w:rPr>
              <w:t>7</w:t>
            </w:r>
            <w:r>
              <w:rPr>
                <w:rFonts w:ascii="Calibri" w:hAnsi="Calibri" w:cs="Calibri"/>
                <w:color w:val="auto"/>
                <w:sz w:val="18"/>
                <w:szCs w:val="22"/>
                <w:lang w:val="sv-SE"/>
              </w:rPr>
              <w:t>,</w:t>
            </w:r>
            <w:r w:rsidR="00CA74D5">
              <w:rPr>
                <w:rFonts w:ascii="Calibri" w:hAnsi="Calibri" w:cs="Calibri"/>
                <w:color w:val="auto"/>
                <w:sz w:val="18"/>
                <w:szCs w:val="22"/>
                <w:lang w:val="sv-SE"/>
              </w:rPr>
              <w:t>0</w:t>
            </w:r>
            <w:r>
              <w:rPr>
                <w:rFonts w:ascii="Calibri" w:hAnsi="Calibri" w:cs="Calibri"/>
                <w:color w:val="auto"/>
                <w:sz w:val="18"/>
                <w:szCs w:val="22"/>
                <w:lang w:val="sv-SE"/>
              </w:rPr>
              <w:t xml:space="preserve">%, che </w:t>
            </w:r>
            <w:r w:rsidR="00CA74D5">
              <w:rPr>
                <w:rFonts w:ascii="Calibri" w:hAnsi="Calibri" w:cs="Calibri"/>
                <w:color w:val="auto"/>
                <w:sz w:val="18"/>
                <w:szCs w:val="22"/>
                <w:lang w:val="sv-SE"/>
              </w:rPr>
              <w:t>migliora il 36,3% del 2017</w:t>
            </w:r>
            <w:r>
              <w:rPr>
                <w:rFonts w:ascii="Calibri" w:hAnsi="Calibri" w:cs="Calibri"/>
                <w:color w:val="auto"/>
                <w:sz w:val="18"/>
                <w:szCs w:val="22"/>
                <w:lang w:val="sv-SE"/>
              </w:rPr>
              <w:t>. Questi</w:t>
            </w:r>
            <w:r w:rsidRPr="00702E89">
              <w:rPr>
                <w:rFonts w:ascii="Calibri" w:hAnsi="Calibri" w:cs="Calibri"/>
                <w:color w:val="auto"/>
                <w:sz w:val="18"/>
                <w:szCs w:val="22"/>
                <w:lang w:val="sv-SE"/>
              </w:rPr>
              <w:t xml:space="preserve"> dati </w:t>
            </w:r>
            <w:r w:rsidR="00CA74D5">
              <w:rPr>
                <w:rFonts w:ascii="Calibri" w:hAnsi="Calibri" w:cs="Calibri"/>
                <w:color w:val="auto"/>
                <w:sz w:val="18"/>
                <w:szCs w:val="22"/>
                <w:lang w:val="sv-SE"/>
              </w:rPr>
              <w:t>rappresent</w:t>
            </w:r>
            <w:r w:rsidRPr="00702E89">
              <w:rPr>
                <w:rFonts w:ascii="Calibri" w:hAnsi="Calibri" w:cs="Calibri"/>
                <w:color w:val="auto"/>
                <w:sz w:val="18"/>
                <w:szCs w:val="22"/>
                <w:lang w:val="sv-SE"/>
              </w:rPr>
              <w:t>ano un</w:t>
            </w:r>
            <w:r w:rsidR="00CA74D5">
              <w:rPr>
                <w:rFonts w:ascii="Calibri" w:hAnsi="Calibri" w:cs="Calibri"/>
                <w:color w:val="auto"/>
                <w:sz w:val="18"/>
                <w:szCs w:val="22"/>
                <w:lang w:val="sv-SE"/>
              </w:rPr>
              <w:t xml:space="preserve">a </w:t>
            </w:r>
            <w:r w:rsidRPr="00702E89">
              <w:rPr>
                <w:rFonts w:ascii="Calibri" w:hAnsi="Calibri" w:cs="Calibri"/>
                <w:color w:val="auto"/>
                <w:sz w:val="18"/>
                <w:szCs w:val="22"/>
                <w:lang w:val="sv-SE"/>
              </w:rPr>
              <w:t>tend</w:t>
            </w:r>
            <w:r w:rsidR="00CA74D5">
              <w:rPr>
                <w:rFonts w:ascii="Calibri" w:hAnsi="Calibri" w:cs="Calibri"/>
                <w:color w:val="auto"/>
                <w:sz w:val="18"/>
                <w:szCs w:val="22"/>
                <w:lang w:val="sv-SE"/>
              </w:rPr>
              <w:t>enza d</w:t>
            </w:r>
            <w:r w:rsidRPr="00702E89">
              <w:rPr>
                <w:rFonts w:ascii="Calibri" w:hAnsi="Calibri" w:cs="Calibri"/>
                <w:color w:val="auto"/>
                <w:sz w:val="18"/>
                <w:szCs w:val="22"/>
                <w:lang w:val="sv-SE"/>
              </w:rPr>
              <w:t xml:space="preserve">el nostro CdS </w:t>
            </w:r>
            <w:r w:rsidR="00CA74D5">
              <w:rPr>
                <w:rFonts w:ascii="Calibri" w:hAnsi="Calibri" w:cs="Calibri"/>
                <w:color w:val="auto"/>
                <w:sz w:val="18"/>
                <w:szCs w:val="22"/>
                <w:lang w:val="sv-SE"/>
              </w:rPr>
              <w:t>a superare progressivamente il divario con l</w:t>
            </w:r>
            <w:r w:rsidRPr="00702E89">
              <w:rPr>
                <w:rFonts w:ascii="Calibri" w:hAnsi="Calibri" w:cs="Calibri"/>
                <w:color w:val="auto"/>
                <w:sz w:val="18"/>
                <w:szCs w:val="22"/>
                <w:lang w:val="sv-SE"/>
              </w:rPr>
              <w:t xml:space="preserve">a media </w:t>
            </w:r>
            <w:r>
              <w:rPr>
                <w:rFonts w:ascii="Calibri" w:hAnsi="Calibri" w:cs="Calibri"/>
                <w:color w:val="auto"/>
                <w:sz w:val="18"/>
                <w:szCs w:val="22"/>
                <w:lang w:val="sv-SE"/>
              </w:rPr>
              <w:t xml:space="preserve">di quelli </w:t>
            </w:r>
            <w:r w:rsidRPr="00702E89">
              <w:rPr>
                <w:rFonts w:ascii="Calibri" w:hAnsi="Calibri" w:cs="Calibri"/>
                <w:color w:val="auto"/>
                <w:sz w:val="18"/>
                <w:szCs w:val="22"/>
                <w:lang w:val="sv-SE"/>
              </w:rPr>
              <w:t>dell’area geografica e nazionale</w:t>
            </w:r>
            <w:r>
              <w:rPr>
                <w:rFonts w:ascii="Calibri" w:hAnsi="Calibri" w:cs="Calibri"/>
                <w:color w:val="auto"/>
                <w:sz w:val="18"/>
                <w:szCs w:val="22"/>
                <w:lang w:val="sv-SE"/>
              </w:rPr>
              <w:t xml:space="preserve"> (rispettivamente</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48,3% e 47,</w:t>
            </w:r>
            <w:r w:rsidR="00CA74D5">
              <w:rPr>
                <w:rFonts w:ascii="Calibri" w:hAnsi="Calibri" w:cs="Calibri"/>
                <w:color w:val="auto"/>
                <w:sz w:val="18"/>
                <w:szCs w:val="22"/>
                <w:lang w:val="sv-SE"/>
              </w:rPr>
              <w:t>5</w:t>
            </w:r>
            <w:r>
              <w:rPr>
                <w:rFonts w:ascii="Calibri" w:hAnsi="Calibri" w:cs="Calibri"/>
                <w:color w:val="auto"/>
                <w:sz w:val="18"/>
                <w:szCs w:val="22"/>
                <w:lang w:val="sv-SE"/>
              </w:rPr>
              <w:t>% nel 201</w:t>
            </w:r>
            <w:r w:rsidR="00CA74D5">
              <w:rPr>
                <w:rFonts w:ascii="Calibri" w:hAnsi="Calibri" w:cs="Calibri"/>
                <w:color w:val="auto"/>
                <w:sz w:val="18"/>
                <w:szCs w:val="22"/>
                <w:lang w:val="sv-SE"/>
              </w:rPr>
              <w:t>8</w:t>
            </w:r>
            <w:r>
              <w:rPr>
                <w:rFonts w:ascii="Calibri" w:hAnsi="Calibri" w:cs="Calibri"/>
                <w:color w:val="auto"/>
                <w:sz w:val="18"/>
                <w:szCs w:val="22"/>
                <w:lang w:val="sv-SE"/>
              </w:rPr>
              <w:t xml:space="preserve">). </w:t>
            </w:r>
          </w:p>
          <w:p w:rsidR="00431963" w:rsidP="00431963" w:rsidRDefault="00431963" w14:paraId="1D51F91C" w14:textId="639B0E67">
            <w:pPr>
              <w:pStyle w:val="Default"/>
              <w:mirrorIndents/>
              <w:jc w:val="both"/>
              <w:rPr>
                <w:rFonts w:ascii="Calibri" w:hAnsi="Calibri" w:cs="Calibri"/>
                <w:color w:val="auto"/>
                <w:sz w:val="18"/>
                <w:szCs w:val="22"/>
                <w:lang w:val="sv-SE"/>
              </w:rPr>
            </w:pPr>
            <w:r w:rsidRPr="00702E89">
              <w:rPr>
                <w:rFonts w:ascii="Calibri" w:hAnsi="Calibri" w:cs="Calibri"/>
                <w:color w:val="auto"/>
                <w:sz w:val="18"/>
                <w:szCs w:val="22"/>
                <w:lang w:val="sv-SE"/>
              </w:rPr>
              <w:t>Con riguardo ai dati dell’i</w:t>
            </w:r>
            <w:r w:rsidRPr="003C3AE9">
              <w:rPr>
                <w:rFonts w:ascii="Calibri" w:hAnsi="Calibri" w:cs="Calibri"/>
                <w:b/>
                <w:color w:val="auto"/>
                <w:sz w:val="18"/>
                <w:szCs w:val="22"/>
                <w:lang w:val="sv-SE"/>
              </w:rPr>
              <w:t>ndicatore</w:t>
            </w:r>
            <w:r w:rsidRPr="00702E89">
              <w:rPr>
                <w:rFonts w:ascii="Calibri" w:hAnsi="Calibri" w:cs="Calibri"/>
                <w:color w:val="auto"/>
                <w:sz w:val="18"/>
                <w:szCs w:val="22"/>
                <w:lang w:val="sv-SE"/>
              </w:rPr>
              <w:t xml:space="preserve"> </w:t>
            </w:r>
            <w:r w:rsidRPr="003C3AE9">
              <w:rPr>
                <w:rFonts w:ascii="Calibri" w:hAnsi="Calibri" w:cs="Calibri"/>
                <w:b/>
                <w:color w:val="auto"/>
                <w:sz w:val="18"/>
                <w:szCs w:val="22"/>
                <w:lang w:val="sv-SE"/>
              </w:rPr>
              <w:t>iC15</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si può osservare che il </w:t>
            </w:r>
            <w:r w:rsidR="00FA2441">
              <w:rPr>
                <w:rFonts w:ascii="Calibri" w:hAnsi="Calibri" w:cs="Calibri"/>
                <w:color w:val="auto"/>
                <w:sz w:val="18"/>
                <w:szCs w:val="22"/>
                <w:lang w:val="sv-SE"/>
              </w:rPr>
              <w:t>56</w:t>
            </w:r>
            <w:r>
              <w:rPr>
                <w:rFonts w:ascii="Calibri" w:hAnsi="Calibri" w:cs="Calibri"/>
                <w:color w:val="auto"/>
                <w:sz w:val="18"/>
                <w:szCs w:val="22"/>
                <w:lang w:val="sv-SE"/>
              </w:rPr>
              <w:t>,</w:t>
            </w:r>
            <w:r w:rsidR="00FA2441">
              <w:rPr>
                <w:rFonts w:ascii="Calibri" w:hAnsi="Calibri" w:cs="Calibri"/>
                <w:color w:val="auto"/>
                <w:sz w:val="18"/>
                <w:szCs w:val="22"/>
                <w:lang w:val="sv-SE"/>
              </w:rPr>
              <w:t>7</w:t>
            </w:r>
            <w:r w:rsidRPr="00702E89">
              <w:rPr>
                <w:rFonts w:ascii="Calibri" w:hAnsi="Calibri" w:cs="Calibri"/>
                <w:color w:val="auto"/>
                <w:sz w:val="18"/>
                <w:szCs w:val="22"/>
                <w:lang w:val="sv-SE"/>
              </w:rPr>
              <w:t>% degli studenti prosegue nel secondo anno del CdS avendo acquisito un terzo almeno dei CFU previsti</w:t>
            </w:r>
            <w:r w:rsidR="00FA2441">
              <w:rPr>
                <w:rFonts w:ascii="Calibri" w:hAnsi="Calibri" w:cs="Calibri"/>
                <w:color w:val="auto"/>
                <w:sz w:val="18"/>
                <w:szCs w:val="22"/>
                <w:lang w:val="sv-SE"/>
              </w:rPr>
              <w:t xml:space="preserve"> al primo anno, con una dimunizione di circa il 6% rispetto al 2017</w:t>
            </w:r>
            <w:r w:rsidRPr="00702E89">
              <w:rPr>
                <w:rFonts w:ascii="Calibri" w:hAnsi="Calibri" w:cs="Calibri"/>
                <w:color w:val="auto"/>
                <w:sz w:val="18"/>
                <w:szCs w:val="22"/>
                <w:lang w:val="sv-SE"/>
              </w:rPr>
              <w:t xml:space="preserve">. Anche in questo caso, siamo in presenza di un dato </w:t>
            </w:r>
            <w:r>
              <w:rPr>
                <w:rFonts w:ascii="Calibri" w:hAnsi="Calibri" w:cs="Calibri"/>
                <w:color w:val="auto"/>
                <w:sz w:val="18"/>
                <w:szCs w:val="22"/>
                <w:lang w:val="sv-SE"/>
              </w:rPr>
              <w:t>inferiore</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al</w:t>
            </w:r>
            <w:r w:rsidRPr="00702E89">
              <w:rPr>
                <w:rFonts w:ascii="Calibri" w:hAnsi="Calibri" w:cs="Calibri"/>
                <w:color w:val="auto"/>
                <w:sz w:val="18"/>
                <w:szCs w:val="22"/>
                <w:lang w:val="sv-SE"/>
              </w:rPr>
              <w:t xml:space="preserve">la media nazionale </w:t>
            </w:r>
            <w:r>
              <w:rPr>
                <w:rFonts w:ascii="Calibri" w:hAnsi="Calibri" w:cs="Calibri"/>
                <w:color w:val="auto"/>
                <w:sz w:val="18"/>
                <w:szCs w:val="22"/>
                <w:lang w:val="sv-SE"/>
              </w:rPr>
              <w:t>(64,</w:t>
            </w:r>
            <w:r w:rsidR="00FA2441">
              <w:rPr>
                <w:rFonts w:ascii="Calibri" w:hAnsi="Calibri" w:cs="Calibri"/>
                <w:color w:val="auto"/>
                <w:sz w:val="18"/>
                <w:szCs w:val="22"/>
                <w:lang w:val="sv-SE"/>
              </w:rPr>
              <w:t>4</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e a quella dell’area geografica di riferimento</w:t>
            </w:r>
            <w:r>
              <w:rPr>
                <w:rFonts w:ascii="Calibri" w:hAnsi="Calibri" w:cs="Calibri"/>
                <w:color w:val="auto"/>
                <w:sz w:val="18"/>
                <w:szCs w:val="22"/>
                <w:lang w:val="sv-SE"/>
              </w:rPr>
              <w:t xml:space="preserve"> (6</w:t>
            </w:r>
            <w:r w:rsidR="00FA2441">
              <w:rPr>
                <w:rFonts w:ascii="Calibri" w:hAnsi="Calibri" w:cs="Calibri"/>
                <w:color w:val="auto"/>
                <w:sz w:val="18"/>
                <w:szCs w:val="22"/>
                <w:lang w:val="sv-SE"/>
              </w:rPr>
              <w:t>5</w:t>
            </w:r>
            <w:r>
              <w:rPr>
                <w:rFonts w:ascii="Calibri" w:hAnsi="Calibri" w:cs="Calibri"/>
                <w:color w:val="auto"/>
                <w:sz w:val="18"/>
                <w:szCs w:val="22"/>
                <w:lang w:val="sv-SE"/>
              </w:rPr>
              <w:t>,</w:t>
            </w:r>
            <w:r w:rsidR="00FA2441">
              <w:rPr>
                <w:rFonts w:ascii="Calibri" w:hAnsi="Calibri" w:cs="Calibri"/>
                <w:color w:val="auto"/>
                <w:sz w:val="18"/>
                <w:szCs w:val="22"/>
                <w:lang w:val="sv-SE"/>
              </w:rPr>
              <w:t>7</w:t>
            </w:r>
            <w:r>
              <w:rPr>
                <w:rFonts w:ascii="Calibri" w:hAnsi="Calibri" w:cs="Calibri"/>
                <w:color w:val="auto"/>
                <w:sz w:val="18"/>
                <w:szCs w:val="22"/>
                <w:lang w:val="sv-SE"/>
              </w:rPr>
              <w:t>%)</w:t>
            </w:r>
            <w:r w:rsidRPr="00702E89">
              <w:rPr>
                <w:rFonts w:ascii="Calibri" w:hAnsi="Calibri" w:cs="Calibri"/>
                <w:color w:val="auto"/>
                <w:sz w:val="18"/>
                <w:szCs w:val="22"/>
                <w:lang w:val="sv-SE"/>
              </w:rPr>
              <w:t>.</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L’</w:t>
            </w:r>
            <w:r w:rsidRPr="003C3AE9">
              <w:rPr>
                <w:rFonts w:ascii="Calibri" w:hAnsi="Calibri" w:cs="Calibri"/>
                <w:b/>
                <w:color w:val="auto"/>
                <w:sz w:val="18"/>
                <w:szCs w:val="22"/>
                <w:lang w:val="sv-SE"/>
              </w:rPr>
              <w:t>indicatore</w:t>
            </w:r>
            <w:r w:rsidRPr="00702E89">
              <w:rPr>
                <w:rFonts w:ascii="Calibri" w:hAnsi="Calibri" w:cs="Calibri"/>
                <w:color w:val="auto"/>
                <w:sz w:val="18"/>
                <w:szCs w:val="22"/>
                <w:lang w:val="sv-SE"/>
              </w:rPr>
              <w:t xml:space="preserve"> </w:t>
            </w:r>
            <w:r w:rsidRPr="003C3AE9">
              <w:rPr>
                <w:rFonts w:ascii="Calibri" w:hAnsi="Calibri" w:cs="Calibri"/>
                <w:b/>
                <w:color w:val="auto"/>
                <w:sz w:val="18"/>
                <w:szCs w:val="22"/>
                <w:lang w:val="sv-SE"/>
              </w:rPr>
              <w:t>iC16</w:t>
            </w:r>
            <w:r w:rsidRPr="00702E89">
              <w:rPr>
                <w:rFonts w:ascii="Calibri" w:hAnsi="Calibri" w:cs="Calibri"/>
                <w:color w:val="auto"/>
                <w:sz w:val="18"/>
                <w:szCs w:val="22"/>
                <w:lang w:val="sv-SE"/>
              </w:rPr>
              <w:t xml:space="preserve"> mette in luce come solo </w:t>
            </w:r>
            <w:r>
              <w:rPr>
                <w:rFonts w:ascii="Calibri" w:hAnsi="Calibri" w:cs="Calibri"/>
                <w:color w:val="auto"/>
                <w:sz w:val="18"/>
                <w:szCs w:val="22"/>
                <w:lang w:val="sv-SE"/>
              </w:rPr>
              <w:t>il 3</w:t>
            </w:r>
            <w:r w:rsidR="00FA2441">
              <w:rPr>
                <w:rFonts w:ascii="Calibri" w:hAnsi="Calibri" w:cs="Calibri"/>
                <w:color w:val="auto"/>
                <w:sz w:val="18"/>
                <w:szCs w:val="22"/>
                <w:lang w:val="sv-SE"/>
              </w:rPr>
              <w:t>7</w:t>
            </w:r>
            <w:r>
              <w:rPr>
                <w:rFonts w:ascii="Calibri" w:hAnsi="Calibri" w:cs="Calibri"/>
                <w:color w:val="auto"/>
                <w:sz w:val="18"/>
                <w:szCs w:val="22"/>
                <w:lang w:val="sv-SE"/>
              </w:rPr>
              <w:t>,</w:t>
            </w:r>
            <w:r w:rsidR="00FA2441">
              <w:rPr>
                <w:rFonts w:ascii="Calibri" w:hAnsi="Calibri" w:cs="Calibri"/>
                <w:color w:val="auto"/>
                <w:sz w:val="18"/>
                <w:szCs w:val="22"/>
                <w:lang w:val="sv-SE"/>
              </w:rPr>
              <w:t>8</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degli studenti</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abbia acquisito almeno due terzi (40cfu) di quelli previsti nel passaggio tra il primo e il secondo anno del CdS. Tale percentuale </w:t>
            </w:r>
            <w:r>
              <w:rPr>
                <w:rFonts w:ascii="Calibri" w:hAnsi="Calibri" w:cs="Calibri"/>
                <w:color w:val="auto"/>
                <w:sz w:val="18"/>
                <w:szCs w:val="22"/>
                <w:lang w:val="sv-SE"/>
              </w:rPr>
              <w:t xml:space="preserve">si è </w:t>
            </w:r>
            <w:r w:rsidR="00FA2441">
              <w:rPr>
                <w:rFonts w:ascii="Calibri" w:hAnsi="Calibri" w:cs="Calibri"/>
                <w:color w:val="auto"/>
                <w:sz w:val="18"/>
                <w:szCs w:val="22"/>
                <w:lang w:val="sv-SE"/>
              </w:rPr>
              <w:t>però innalza</w:t>
            </w:r>
            <w:r>
              <w:rPr>
                <w:rFonts w:ascii="Calibri" w:hAnsi="Calibri" w:cs="Calibri"/>
                <w:color w:val="auto"/>
                <w:sz w:val="18"/>
                <w:szCs w:val="22"/>
                <w:lang w:val="sv-SE"/>
              </w:rPr>
              <w:t xml:space="preserve">ta </w:t>
            </w:r>
            <w:r w:rsidR="00FA2441">
              <w:rPr>
                <w:rFonts w:ascii="Calibri" w:hAnsi="Calibri" w:cs="Calibri"/>
                <w:color w:val="auto"/>
                <w:sz w:val="18"/>
                <w:szCs w:val="22"/>
                <w:lang w:val="sv-SE"/>
              </w:rPr>
              <w:t xml:space="preserve">dello 0,8% </w:t>
            </w:r>
            <w:r>
              <w:rPr>
                <w:rFonts w:ascii="Calibri" w:hAnsi="Calibri" w:cs="Calibri"/>
                <w:color w:val="auto"/>
                <w:sz w:val="18"/>
                <w:szCs w:val="22"/>
                <w:lang w:val="sv-SE"/>
              </w:rPr>
              <w:t>rispetto al 201</w:t>
            </w:r>
            <w:r w:rsidR="00FA2441">
              <w:rPr>
                <w:rFonts w:ascii="Calibri" w:hAnsi="Calibri" w:cs="Calibri"/>
                <w:color w:val="auto"/>
                <w:sz w:val="18"/>
                <w:szCs w:val="22"/>
                <w:lang w:val="sv-SE"/>
              </w:rPr>
              <w:t>7, benché</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risult</w:t>
            </w:r>
            <w:r w:rsidR="00FA2441">
              <w:rPr>
                <w:rFonts w:ascii="Calibri" w:hAnsi="Calibri" w:cs="Calibri"/>
                <w:color w:val="auto"/>
                <w:sz w:val="18"/>
                <w:szCs w:val="22"/>
                <w:lang w:val="sv-SE"/>
              </w:rPr>
              <w:t xml:space="preserve">i </w:t>
            </w:r>
            <w:r w:rsidRPr="00702E89">
              <w:rPr>
                <w:rFonts w:ascii="Calibri" w:hAnsi="Calibri" w:cs="Calibri"/>
                <w:color w:val="auto"/>
                <w:sz w:val="18"/>
                <w:szCs w:val="22"/>
                <w:lang w:val="sv-SE"/>
              </w:rPr>
              <w:t>a</w:t>
            </w:r>
            <w:r w:rsidR="00FA2441">
              <w:rPr>
                <w:rFonts w:ascii="Calibri" w:hAnsi="Calibri" w:cs="Calibri"/>
                <w:color w:val="auto"/>
                <w:sz w:val="18"/>
                <w:szCs w:val="22"/>
                <w:lang w:val="sv-SE"/>
              </w:rPr>
              <w:t>ncora</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 xml:space="preserve">inferiore </w:t>
            </w:r>
            <w:r w:rsidRPr="00702E89">
              <w:rPr>
                <w:rFonts w:ascii="Calibri" w:hAnsi="Calibri" w:cs="Calibri"/>
                <w:color w:val="auto"/>
                <w:sz w:val="18"/>
                <w:szCs w:val="22"/>
                <w:lang w:val="sv-SE"/>
              </w:rPr>
              <w:t xml:space="preserve">alla media dell’area geografica di riferimento </w:t>
            </w:r>
            <w:r>
              <w:rPr>
                <w:rFonts w:ascii="Calibri" w:hAnsi="Calibri" w:cs="Calibri"/>
                <w:color w:val="auto"/>
                <w:sz w:val="18"/>
                <w:szCs w:val="22"/>
                <w:lang w:val="sv-SE"/>
              </w:rPr>
              <w:t>(45,</w:t>
            </w:r>
            <w:r w:rsidR="00FA2441">
              <w:rPr>
                <w:rFonts w:ascii="Calibri" w:hAnsi="Calibri" w:cs="Calibri"/>
                <w:color w:val="auto"/>
                <w:sz w:val="18"/>
                <w:szCs w:val="22"/>
                <w:lang w:val="sv-SE"/>
              </w:rPr>
              <w:t>0</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e alla media nazionale</w:t>
            </w:r>
            <w:r>
              <w:rPr>
                <w:rFonts w:ascii="Calibri" w:hAnsi="Calibri" w:cs="Calibri"/>
                <w:color w:val="auto"/>
                <w:sz w:val="18"/>
                <w:szCs w:val="22"/>
                <w:lang w:val="sv-SE"/>
              </w:rPr>
              <w:t xml:space="preserve"> (43,</w:t>
            </w:r>
            <w:r w:rsidR="00FA2441">
              <w:rPr>
                <w:rFonts w:ascii="Calibri" w:hAnsi="Calibri" w:cs="Calibri"/>
                <w:color w:val="auto"/>
                <w:sz w:val="18"/>
                <w:szCs w:val="22"/>
                <w:lang w:val="sv-SE"/>
              </w:rPr>
              <w:t>8</w:t>
            </w:r>
            <w:r>
              <w:rPr>
                <w:rFonts w:ascii="Calibri" w:hAnsi="Calibri" w:cs="Calibri"/>
                <w:color w:val="auto"/>
                <w:sz w:val="18"/>
                <w:szCs w:val="22"/>
                <w:lang w:val="sv-SE"/>
              </w:rPr>
              <w:t>%)</w:t>
            </w:r>
            <w:r w:rsidRPr="00702E89">
              <w:rPr>
                <w:rFonts w:ascii="Calibri" w:hAnsi="Calibri" w:cs="Calibri"/>
                <w:color w:val="auto"/>
                <w:sz w:val="18"/>
                <w:szCs w:val="22"/>
                <w:lang w:val="sv-SE"/>
              </w:rPr>
              <w:t>.</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Dall’</w:t>
            </w:r>
            <w:r w:rsidRPr="003C3AE9">
              <w:rPr>
                <w:rFonts w:ascii="Calibri" w:hAnsi="Calibri" w:cs="Calibri"/>
                <w:b/>
                <w:color w:val="auto"/>
                <w:sz w:val="18"/>
                <w:szCs w:val="22"/>
                <w:lang w:val="sv-SE"/>
              </w:rPr>
              <w:t>indicatore iC13</w:t>
            </w:r>
            <w:r w:rsidRPr="00702E89">
              <w:rPr>
                <w:rFonts w:ascii="Calibri" w:hAnsi="Calibri" w:cs="Calibri"/>
                <w:color w:val="auto"/>
                <w:sz w:val="18"/>
                <w:szCs w:val="22"/>
                <w:lang w:val="sv-SE"/>
              </w:rPr>
              <w:t xml:space="preserve"> si ricava che</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gli studenti del primo anno conseguono </w:t>
            </w:r>
            <w:r w:rsidR="00FA2441">
              <w:rPr>
                <w:rFonts w:ascii="Calibri" w:hAnsi="Calibri" w:cs="Calibri"/>
                <w:color w:val="auto"/>
                <w:sz w:val="18"/>
                <w:szCs w:val="22"/>
                <w:lang w:val="sv-SE"/>
              </w:rPr>
              <w:t>poco meno del</w:t>
            </w:r>
            <w:r w:rsidRPr="00702E89">
              <w:rPr>
                <w:rFonts w:ascii="Calibri" w:hAnsi="Calibri" w:cs="Calibri"/>
                <w:color w:val="auto"/>
                <w:sz w:val="18"/>
                <w:szCs w:val="22"/>
                <w:lang w:val="sv-SE"/>
              </w:rPr>
              <w:t>la metà dei CFU previsti</w:t>
            </w:r>
            <w:r>
              <w:rPr>
                <w:rFonts w:ascii="Calibri" w:hAnsi="Calibri" w:cs="Calibri"/>
                <w:color w:val="auto"/>
                <w:sz w:val="18"/>
                <w:szCs w:val="22"/>
                <w:lang w:val="sv-SE"/>
              </w:rPr>
              <w:t xml:space="preserve"> (</w:t>
            </w:r>
            <w:r w:rsidR="00FA2441">
              <w:rPr>
                <w:rFonts w:ascii="Calibri" w:hAnsi="Calibri" w:cs="Calibri"/>
                <w:color w:val="auto"/>
                <w:sz w:val="18"/>
                <w:szCs w:val="22"/>
                <w:lang w:val="sv-SE"/>
              </w:rPr>
              <w:t>47</w:t>
            </w:r>
            <w:r>
              <w:rPr>
                <w:rFonts w:ascii="Calibri" w:hAnsi="Calibri" w:cs="Calibri"/>
                <w:color w:val="auto"/>
                <w:sz w:val="18"/>
                <w:szCs w:val="22"/>
                <w:lang w:val="sv-SE"/>
              </w:rPr>
              <w:t>,</w:t>
            </w:r>
            <w:r w:rsidR="00FA2441">
              <w:rPr>
                <w:rFonts w:ascii="Calibri" w:hAnsi="Calibri" w:cs="Calibri"/>
                <w:color w:val="auto"/>
                <w:sz w:val="18"/>
                <w:szCs w:val="22"/>
                <w:lang w:val="sv-SE"/>
              </w:rPr>
              <w:t>9</w:t>
            </w:r>
            <w:r>
              <w:rPr>
                <w:rFonts w:ascii="Calibri" w:hAnsi="Calibri" w:cs="Calibri"/>
                <w:color w:val="auto"/>
                <w:sz w:val="18"/>
                <w:szCs w:val="22"/>
                <w:lang w:val="sv-SE"/>
              </w:rPr>
              <w:t>%)</w:t>
            </w:r>
            <w:r w:rsidRPr="00702E89">
              <w:rPr>
                <w:rFonts w:ascii="Calibri" w:hAnsi="Calibri" w:cs="Calibri"/>
                <w:color w:val="auto"/>
                <w:sz w:val="18"/>
                <w:szCs w:val="22"/>
                <w:lang w:val="sv-SE"/>
              </w:rPr>
              <w:t>. Si tratta di un dato inferiore alla media nazionale</w:t>
            </w:r>
            <w:r>
              <w:rPr>
                <w:rFonts w:ascii="Calibri" w:hAnsi="Calibri" w:cs="Calibri"/>
                <w:color w:val="auto"/>
                <w:sz w:val="18"/>
                <w:szCs w:val="22"/>
                <w:lang w:val="sv-SE"/>
              </w:rPr>
              <w:t xml:space="preserve"> (5</w:t>
            </w:r>
            <w:r w:rsidR="00FA2441">
              <w:rPr>
                <w:rFonts w:ascii="Calibri" w:hAnsi="Calibri" w:cs="Calibri"/>
                <w:color w:val="auto"/>
                <w:sz w:val="18"/>
                <w:szCs w:val="22"/>
                <w:lang w:val="sv-SE"/>
              </w:rPr>
              <w:t>5</w:t>
            </w:r>
            <w:r>
              <w:rPr>
                <w:rFonts w:ascii="Calibri" w:hAnsi="Calibri" w:cs="Calibri"/>
                <w:color w:val="auto"/>
                <w:sz w:val="18"/>
                <w:szCs w:val="22"/>
                <w:lang w:val="sv-SE"/>
              </w:rPr>
              <w:t>,</w:t>
            </w:r>
            <w:r w:rsidR="00FA2441">
              <w:rPr>
                <w:rFonts w:ascii="Calibri" w:hAnsi="Calibri" w:cs="Calibri"/>
                <w:color w:val="auto"/>
                <w:sz w:val="18"/>
                <w:szCs w:val="22"/>
                <w:lang w:val="sv-SE"/>
              </w:rPr>
              <w:t>8</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e a quella dell’area geografica di riferimento</w:t>
            </w:r>
            <w:r>
              <w:rPr>
                <w:rFonts w:ascii="Calibri" w:hAnsi="Calibri" w:cs="Calibri"/>
                <w:color w:val="auto"/>
                <w:sz w:val="18"/>
                <w:szCs w:val="22"/>
                <w:lang w:val="sv-SE"/>
              </w:rPr>
              <w:t xml:space="preserve"> (5</w:t>
            </w:r>
            <w:r w:rsidR="00FA2441">
              <w:rPr>
                <w:rFonts w:ascii="Calibri" w:hAnsi="Calibri" w:cs="Calibri"/>
                <w:color w:val="auto"/>
                <w:sz w:val="18"/>
                <w:szCs w:val="22"/>
                <w:lang w:val="sv-SE"/>
              </w:rPr>
              <w:t>8</w:t>
            </w:r>
            <w:r>
              <w:rPr>
                <w:rFonts w:ascii="Calibri" w:hAnsi="Calibri" w:cs="Calibri"/>
                <w:color w:val="auto"/>
                <w:sz w:val="18"/>
                <w:szCs w:val="22"/>
                <w:lang w:val="sv-SE"/>
              </w:rPr>
              <w:t>,</w:t>
            </w:r>
            <w:r w:rsidR="00FA2441">
              <w:rPr>
                <w:rFonts w:ascii="Calibri" w:hAnsi="Calibri" w:cs="Calibri"/>
                <w:color w:val="auto"/>
                <w:sz w:val="18"/>
                <w:szCs w:val="22"/>
                <w:lang w:val="sv-SE"/>
              </w:rPr>
              <w:t>7</w:t>
            </w:r>
            <w:r>
              <w:rPr>
                <w:rFonts w:ascii="Calibri" w:hAnsi="Calibri" w:cs="Calibri"/>
                <w:color w:val="auto"/>
                <w:sz w:val="18"/>
                <w:szCs w:val="22"/>
                <w:lang w:val="sv-SE"/>
              </w:rPr>
              <w:t>%)</w:t>
            </w:r>
            <w:r w:rsidR="00FA2441">
              <w:rPr>
                <w:rFonts w:ascii="Calibri" w:hAnsi="Calibri" w:cs="Calibri"/>
                <w:color w:val="auto"/>
                <w:sz w:val="18"/>
                <w:szCs w:val="22"/>
                <w:lang w:val="sv-SE"/>
              </w:rPr>
              <w:t>, anch’essa in lieve flessione rispetto al 2017</w:t>
            </w:r>
            <w:r w:rsidRPr="00702E89">
              <w:rPr>
                <w:rFonts w:ascii="Calibri" w:hAnsi="Calibri" w:cs="Calibri"/>
                <w:color w:val="auto"/>
                <w:sz w:val="18"/>
                <w:szCs w:val="22"/>
                <w:lang w:val="sv-SE"/>
              </w:rPr>
              <w:t>.</w:t>
            </w:r>
          </w:p>
          <w:p w:rsidR="00431963" w:rsidP="00431963" w:rsidRDefault="00431963" w14:paraId="6CCE6955" w14:textId="41C94C97">
            <w:pPr>
              <w:pStyle w:val="Default"/>
              <w:mirrorIndents/>
              <w:jc w:val="both"/>
              <w:rPr>
                <w:rFonts w:ascii="Calibri" w:hAnsi="Calibri" w:cs="Calibri"/>
                <w:color w:val="auto"/>
                <w:sz w:val="18"/>
                <w:szCs w:val="22"/>
                <w:lang w:val="sv-SE"/>
              </w:rPr>
            </w:pPr>
            <w:r w:rsidRPr="00702E89">
              <w:rPr>
                <w:rFonts w:ascii="Calibri" w:hAnsi="Calibri" w:cs="Calibri"/>
                <w:color w:val="auto"/>
                <w:sz w:val="18"/>
                <w:szCs w:val="22"/>
                <w:lang w:val="sv-SE"/>
              </w:rPr>
              <w:t xml:space="preserve">Tutti i dati appena </w:t>
            </w:r>
            <w:r>
              <w:rPr>
                <w:rFonts w:ascii="Calibri" w:hAnsi="Calibri" w:cs="Calibri"/>
                <w:color w:val="auto"/>
                <w:sz w:val="18"/>
                <w:szCs w:val="22"/>
                <w:lang w:val="sv-SE"/>
              </w:rPr>
              <w:t>espos</w:t>
            </w:r>
            <w:r w:rsidRPr="00702E89">
              <w:rPr>
                <w:rFonts w:ascii="Calibri" w:hAnsi="Calibri" w:cs="Calibri"/>
                <w:color w:val="auto"/>
                <w:sz w:val="18"/>
                <w:szCs w:val="22"/>
                <w:lang w:val="sv-SE"/>
              </w:rPr>
              <w:t xml:space="preserve">ti manifestano un problema da lungo tempo noto al CdS: l’elevato numero di abbandoni tra il primo ed il secondo anno e la modesta percentuale di studenti che risulta in regola nel passaggio al secondo anno. </w:t>
            </w:r>
            <w:r>
              <w:rPr>
                <w:rFonts w:ascii="Calibri" w:hAnsi="Calibri" w:cs="Calibri"/>
                <w:color w:val="auto"/>
                <w:sz w:val="18"/>
                <w:szCs w:val="22"/>
                <w:lang w:val="sv-SE"/>
              </w:rPr>
              <w:t>L’attuazione delle azioni correttive messe in atto richiede due considerazioni preliminari: la prima</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è la</w:t>
            </w:r>
            <w:r w:rsidRPr="00702E89">
              <w:rPr>
                <w:rFonts w:ascii="Calibri" w:hAnsi="Calibri" w:cs="Calibri"/>
                <w:color w:val="auto"/>
                <w:sz w:val="18"/>
                <w:szCs w:val="22"/>
                <w:lang w:val="sv-SE"/>
              </w:rPr>
              <w:t xml:space="preserve"> consapevolezza </w:t>
            </w:r>
            <w:r>
              <w:rPr>
                <w:rFonts w:ascii="Calibri" w:hAnsi="Calibri" w:cs="Calibri"/>
                <w:color w:val="auto"/>
                <w:sz w:val="18"/>
                <w:szCs w:val="22"/>
                <w:lang w:val="sv-SE"/>
              </w:rPr>
              <w:t xml:space="preserve">di essere </w:t>
            </w:r>
            <w:r w:rsidRPr="00702E89">
              <w:rPr>
                <w:rFonts w:ascii="Calibri" w:hAnsi="Calibri" w:cs="Calibri"/>
                <w:color w:val="auto"/>
                <w:sz w:val="18"/>
                <w:szCs w:val="22"/>
                <w:lang w:val="sv-SE"/>
              </w:rPr>
              <w:t xml:space="preserve">in presenza di un problema “fisiologico”, </w:t>
            </w:r>
            <w:r>
              <w:rPr>
                <w:rFonts w:ascii="Calibri" w:hAnsi="Calibri" w:cs="Calibri"/>
                <w:color w:val="auto"/>
                <w:sz w:val="18"/>
                <w:szCs w:val="22"/>
                <w:lang w:val="sv-SE"/>
              </w:rPr>
              <w:t>dovut</w:t>
            </w:r>
            <w:r w:rsidRPr="00702E89">
              <w:rPr>
                <w:rFonts w:ascii="Calibri" w:hAnsi="Calibri" w:cs="Calibri"/>
                <w:color w:val="auto"/>
                <w:sz w:val="18"/>
                <w:szCs w:val="22"/>
                <w:lang w:val="sv-SE"/>
              </w:rPr>
              <w:t xml:space="preserve">o </w:t>
            </w:r>
            <w:r>
              <w:rPr>
                <w:rFonts w:ascii="Calibri" w:hAnsi="Calibri" w:cs="Calibri"/>
                <w:color w:val="auto"/>
                <w:sz w:val="18"/>
                <w:szCs w:val="22"/>
                <w:lang w:val="sv-SE"/>
              </w:rPr>
              <w:t>a</w:t>
            </w:r>
            <w:r w:rsidRPr="00702E89">
              <w:rPr>
                <w:rFonts w:ascii="Calibri" w:hAnsi="Calibri" w:cs="Calibri"/>
                <w:color w:val="auto"/>
                <w:sz w:val="18"/>
                <w:szCs w:val="22"/>
                <w:lang w:val="sv-SE"/>
              </w:rPr>
              <w:t>l carattere libero dell’iscrizione al CdS</w:t>
            </w:r>
            <w:r>
              <w:rPr>
                <w:rFonts w:ascii="Calibri" w:hAnsi="Calibri" w:cs="Calibri"/>
                <w:color w:val="auto"/>
                <w:sz w:val="18"/>
                <w:szCs w:val="22"/>
                <w:lang w:val="sv-SE"/>
              </w:rPr>
              <w:t>, che</w:t>
            </w:r>
            <w:r w:rsidRPr="00702E89">
              <w:rPr>
                <w:rFonts w:ascii="Calibri" w:hAnsi="Calibri" w:cs="Calibri"/>
                <w:color w:val="auto"/>
                <w:sz w:val="18"/>
                <w:szCs w:val="22"/>
                <w:lang w:val="sv-SE"/>
              </w:rPr>
              <w:t xml:space="preserve"> induce ad immatricola</w:t>
            </w:r>
            <w:r>
              <w:rPr>
                <w:rFonts w:ascii="Calibri" w:hAnsi="Calibri" w:cs="Calibri"/>
                <w:color w:val="auto"/>
                <w:sz w:val="18"/>
                <w:szCs w:val="22"/>
                <w:lang w:val="sv-SE"/>
              </w:rPr>
              <w:t>rs</w:t>
            </w:r>
            <w:r w:rsidRPr="00702E89">
              <w:rPr>
                <w:rFonts w:ascii="Calibri" w:hAnsi="Calibri" w:cs="Calibri"/>
                <w:color w:val="auto"/>
                <w:sz w:val="18"/>
                <w:szCs w:val="22"/>
                <w:lang w:val="sv-SE"/>
              </w:rPr>
              <w:t xml:space="preserve">i </w:t>
            </w:r>
            <w:r>
              <w:rPr>
                <w:rFonts w:ascii="Calibri" w:hAnsi="Calibri" w:cs="Calibri"/>
                <w:color w:val="auto"/>
                <w:sz w:val="18"/>
                <w:szCs w:val="22"/>
                <w:lang w:val="sv-SE"/>
              </w:rPr>
              <w:t xml:space="preserve">un numero di studenti </w:t>
            </w:r>
            <w:r w:rsidRPr="00702E89">
              <w:rPr>
                <w:rFonts w:ascii="Calibri" w:hAnsi="Calibri" w:cs="Calibri"/>
                <w:color w:val="auto"/>
                <w:sz w:val="18"/>
                <w:szCs w:val="22"/>
                <w:lang w:val="sv-SE"/>
              </w:rPr>
              <w:t xml:space="preserve">maggiore </w:t>
            </w:r>
            <w:r>
              <w:rPr>
                <w:rFonts w:ascii="Calibri" w:hAnsi="Calibri" w:cs="Calibri"/>
                <w:color w:val="auto"/>
                <w:sz w:val="18"/>
                <w:szCs w:val="22"/>
                <w:lang w:val="sv-SE"/>
              </w:rPr>
              <w:t>di</w:t>
            </w:r>
            <w:r w:rsidRPr="00702E89">
              <w:rPr>
                <w:rFonts w:ascii="Calibri" w:hAnsi="Calibri" w:cs="Calibri"/>
                <w:color w:val="auto"/>
                <w:sz w:val="18"/>
                <w:szCs w:val="22"/>
                <w:lang w:val="sv-SE"/>
              </w:rPr>
              <w:t xml:space="preserve"> quanti si scoprano effettivamente portati agli studi giuridici</w:t>
            </w:r>
            <w:r>
              <w:rPr>
                <w:rFonts w:ascii="Calibri" w:hAnsi="Calibri" w:cs="Calibri"/>
                <w:color w:val="auto"/>
                <w:sz w:val="18"/>
                <w:szCs w:val="22"/>
                <w:lang w:val="sv-SE"/>
              </w:rPr>
              <w:t>; la seconda è che gli indicatori fanno riferimento, come anno più recente, al 201</w:t>
            </w:r>
            <w:r w:rsidR="00F020EB">
              <w:rPr>
                <w:rFonts w:ascii="Calibri" w:hAnsi="Calibri" w:cs="Calibri"/>
                <w:color w:val="auto"/>
                <w:sz w:val="18"/>
                <w:szCs w:val="22"/>
                <w:lang w:val="sv-SE"/>
              </w:rPr>
              <w:t>8</w:t>
            </w:r>
            <w:r>
              <w:rPr>
                <w:rFonts w:ascii="Calibri" w:hAnsi="Calibri" w:cs="Calibri"/>
                <w:color w:val="auto"/>
                <w:sz w:val="18"/>
                <w:szCs w:val="22"/>
                <w:lang w:val="sv-SE"/>
              </w:rPr>
              <w:t>, non permettendo quindi di valutare l’efficacia delle iniziative intraprese con riguardo al 201</w:t>
            </w:r>
            <w:r w:rsidR="00F020EB">
              <w:rPr>
                <w:rFonts w:ascii="Calibri" w:hAnsi="Calibri" w:cs="Calibri"/>
                <w:color w:val="auto"/>
                <w:sz w:val="18"/>
                <w:szCs w:val="22"/>
                <w:lang w:val="sv-SE"/>
              </w:rPr>
              <w:t>9</w:t>
            </w:r>
            <w:r>
              <w:rPr>
                <w:rFonts w:ascii="Calibri" w:hAnsi="Calibri" w:cs="Calibri"/>
                <w:color w:val="auto"/>
                <w:sz w:val="18"/>
                <w:szCs w:val="22"/>
                <w:lang w:val="sv-SE"/>
              </w:rPr>
              <w:t>. Il CdS</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 xml:space="preserve">ritiene comunque di monitorare, proseguire ed intensificare le </w:t>
            </w:r>
            <w:r w:rsidRPr="00702E89">
              <w:rPr>
                <w:rFonts w:ascii="Calibri" w:hAnsi="Calibri" w:cs="Calibri"/>
                <w:color w:val="auto"/>
                <w:sz w:val="18"/>
                <w:szCs w:val="22"/>
                <w:lang w:val="sv-SE"/>
              </w:rPr>
              <w:t>specifiche azioni correttive</w:t>
            </w:r>
            <w:r>
              <w:rPr>
                <w:rFonts w:ascii="Calibri" w:hAnsi="Calibri" w:cs="Calibri"/>
                <w:color w:val="auto"/>
                <w:sz w:val="18"/>
                <w:szCs w:val="22"/>
                <w:lang w:val="sv-SE"/>
              </w:rPr>
              <w:t xml:space="preserve"> avviate e, nello specifico</w:t>
            </w:r>
            <w:r w:rsidRPr="00702E89">
              <w:rPr>
                <w:rFonts w:ascii="Calibri" w:hAnsi="Calibri" w:cs="Calibri"/>
                <w:color w:val="auto"/>
                <w:sz w:val="18"/>
                <w:szCs w:val="22"/>
                <w:lang w:val="sv-SE"/>
              </w:rPr>
              <w:t xml:space="preserve">: a) </w:t>
            </w:r>
            <w:r>
              <w:rPr>
                <w:rFonts w:ascii="Calibri" w:hAnsi="Calibri" w:cs="Calibri"/>
                <w:color w:val="auto"/>
                <w:sz w:val="18"/>
                <w:szCs w:val="22"/>
                <w:lang w:val="sv-SE"/>
              </w:rPr>
              <w:t>valutare il</w:t>
            </w:r>
            <w:r w:rsidRPr="00702E89">
              <w:rPr>
                <w:rFonts w:ascii="Calibri" w:hAnsi="Calibri" w:cs="Calibri"/>
                <w:color w:val="auto"/>
                <w:sz w:val="18"/>
                <w:szCs w:val="22"/>
                <w:lang w:val="sv-SE"/>
              </w:rPr>
              <w:t xml:space="preserve"> riequilibrio degli insegnamenti obbligatori in tutti gli anni di corso, </w:t>
            </w:r>
            <w:r>
              <w:rPr>
                <w:rFonts w:ascii="Calibri" w:hAnsi="Calibri" w:cs="Calibri"/>
                <w:color w:val="auto"/>
                <w:sz w:val="18"/>
                <w:szCs w:val="22"/>
                <w:lang w:val="sv-SE"/>
              </w:rPr>
              <w:t xml:space="preserve">approvato dal CdS </w:t>
            </w:r>
            <w:r w:rsidRPr="00702E89">
              <w:rPr>
                <w:rFonts w:ascii="Calibri" w:hAnsi="Calibri" w:cs="Calibri"/>
                <w:color w:val="auto"/>
                <w:sz w:val="18"/>
                <w:szCs w:val="22"/>
                <w:lang w:val="sv-SE"/>
              </w:rPr>
              <w:t xml:space="preserve">al fine di operare una </w:t>
            </w:r>
            <w:r w:rsidR="00F020EB">
              <w:rPr>
                <w:rFonts w:ascii="Calibri" w:hAnsi="Calibri" w:cs="Calibri"/>
                <w:color w:val="auto"/>
                <w:sz w:val="18"/>
                <w:szCs w:val="22"/>
                <w:lang w:val="sv-SE"/>
              </w:rPr>
              <w:t>ri</w:t>
            </w:r>
            <w:r w:rsidRPr="00702E89">
              <w:rPr>
                <w:rFonts w:ascii="Calibri" w:hAnsi="Calibri" w:cs="Calibri"/>
                <w:color w:val="auto"/>
                <w:sz w:val="18"/>
                <w:szCs w:val="22"/>
                <w:lang w:val="sv-SE"/>
              </w:rPr>
              <w:t xml:space="preserve">distribuzione del carico didattico </w:t>
            </w:r>
            <w:r w:rsidR="00F020EB">
              <w:rPr>
                <w:rFonts w:ascii="Calibri" w:hAnsi="Calibri" w:cs="Calibri"/>
                <w:color w:val="auto"/>
                <w:sz w:val="18"/>
                <w:szCs w:val="22"/>
                <w:lang w:val="sv-SE"/>
              </w:rPr>
              <w:t xml:space="preserve">per </w:t>
            </w:r>
            <w:r w:rsidRPr="00702E89">
              <w:rPr>
                <w:rFonts w:ascii="Calibri" w:hAnsi="Calibri" w:cs="Calibri"/>
                <w:color w:val="auto"/>
                <w:sz w:val="18"/>
                <w:szCs w:val="22"/>
                <w:lang w:val="sv-SE"/>
              </w:rPr>
              <w:t>lo svolgimento dei tirocini anticipati delle professioni legali di Avvocato e Notaio</w:t>
            </w:r>
            <w:r>
              <w:rPr>
                <w:rFonts w:ascii="Calibri" w:hAnsi="Calibri" w:cs="Calibri"/>
                <w:color w:val="auto"/>
                <w:sz w:val="18"/>
                <w:szCs w:val="22"/>
                <w:lang w:val="sv-SE"/>
              </w:rPr>
              <w:t xml:space="preserve"> e della professione di Consulente del lavoro</w:t>
            </w:r>
            <w:r w:rsidRPr="00702E89">
              <w:rPr>
                <w:rFonts w:ascii="Calibri" w:hAnsi="Calibri" w:cs="Calibri"/>
                <w:color w:val="auto"/>
                <w:sz w:val="18"/>
                <w:szCs w:val="22"/>
                <w:lang w:val="sv-SE"/>
              </w:rPr>
              <w:t>; b) verifica</w:t>
            </w:r>
            <w:r>
              <w:rPr>
                <w:rFonts w:ascii="Calibri" w:hAnsi="Calibri" w:cs="Calibri"/>
                <w:color w:val="auto"/>
                <w:sz w:val="18"/>
                <w:szCs w:val="22"/>
                <w:lang w:val="sv-SE"/>
              </w:rPr>
              <w:t>re</w:t>
            </w:r>
            <w:r w:rsidRPr="00702E89">
              <w:rPr>
                <w:rFonts w:ascii="Calibri" w:hAnsi="Calibri" w:cs="Calibri"/>
                <w:color w:val="auto"/>
                <w:sz w:val="18"/>
                <w:szCs w:val="22"/>
                <w:lang w:val="sv-SE"/>
              </w:rPr>
              <w:t xml:space="preserve"> i programmi d’esame, </w:t>
            </w:r>
            <w:r w:rsidR="00F020EB">
              <w:rPr>
                <w:rFonts w:ascii="Calibri" w:hAnsi="Calibri" w:cs="Calibri"/>
                <w:color w:val="auto"/>
                <w:sz w:val="18"/>
                <w:szCs w:val="22"/>
                <w:lang w:val="sv-SE"/>
              </w:rPr>
              <w:t xml:space="preserve">per </w:t>
            </w:r>
            <w:r w:rsidRPr="00702E89">
              <w:rPr>
                <w:rFonts w:ascii="Calibri" w:hAnsi="Calibri" w:cs="Calibri"/>
                <w:color w:val="auto"/>
                <w:sz w:val="18"/>
                <w:szCs w:val="22"/>
                <w:lang w:val="sv-SE"/>
              </w:rPr>
              <w:t>renderli più uniformi all’interno dei vari corsi di una stessa materia</w:t>
            </w:r>
            <w:r w:rsidR="00F020EB">
              <w:rPr>
                <w:rFonts w:ascii="Calibri" w:hAnsi="Calibri" w:cs="Calibri"/>
                <w:color w:val="auto"/>
                <w:sz w:val="18"/>
                <w:szCs w:val="22"/>
                <w:lang w:val="sv-SE"/>
              </w:rPr>
              <w:t xml:space="preserve"> e </w:t>
            </w:r>
            <w:r w:rsidRPr="00702E89">
              <w:rPr>
                <w:rFonts w:ascii="Calibri" w:hAnsi="Calibri" w:cs="Calibri"/>
                <w:color w:val="auto"/>
                <w:sz w:val="18"/>
                <w:szCs w:val="22"/>
                <w:lang w:val="sv-SE"/>
              </w:rPr>
              <w:t>più adeguati agli argomenti trattati</w:t>
            </w:r>
            <w:r w:rsidR="00F020EB">
              <w:rPr>
                <w:rFonts w:ascii="Calibri" w:hAnsi="Calibri" w:cs="Calibri"/>
                <w:color w:val="auto"/>
                <w:sz w:val="18"/>
                <w:szCs w:val="22"/>
                <w:lang w:val="sv-SE"/>
              </w:rPr>
              <w:t xml:space="preserve"> e per evitare sovrapposizioni tra programmi di materie diverse</w:t>
            </w:r>
            <w:r>
              <w:rPr>
                <w:rFonts w:ascii="Calibri" w:hAnsi="Calibri" w:cs="Calibri"/>
                <w:color w:val="auto"/>
                <w:sz w:val="18"/>
                <w:szCs w:val="22"/>
                <w:lang w:val="sv-SE"/>
              </w:rPr>
              <w:t>; c</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rafforzare i corsi serali a supporto della didattica</w:t>
            </w:r>
            <w:r w:rsidR="00F020EB">
              <w:rPr>
                <w:rFonts w:ascii="Calibri" w:hAnsi="Calibri" w:cs="Calibri"/>
                <w:color w:val="auto"/>
                <w:sz w:val="18"/>
                <w:szCs w:val="22"/>
                <w:lang w:val="sv-SE"/>
              </w:rPr>
              <w:t>,</w:t>
            </w:r>
            <w:r>
              <w:rPr>
                <w:rFonts w:ascii="Calibri" w:hAnsi="Calibri" w:cs="Calibri"/>
                <w:color w:val="auto"/>
                <w:sz w:val="18"/>
                <w:szCs w:val="22"/>
                <w:lang w:val="sv-SE"/>
              </w:rPr>
              <w:t xml:space="preserve"> aprendoli a tutti gli studenti; d) intensificare </w:t>
            </w:r>
            <w:r w:rsidRPr="00702E89">
              <w:rPr>
                <w:rFonts w:ascii="Calibri" w:hAnsi="Calibri" w:cs="Calibri"/>
                <w:color w:val="auto"/>
                <w:sz w:val="18"/>
                <w:szCs w:val="22"/>
                <w:lang w:val="sv-SE"/>
              </w:rPr>
              <w:t>il supporto del servizio di tutorato alla pari fornito dall’</w:t>
            </w:r>
            <w:r>
              <w:rPr>
                <w:rFonts w:ascii="Calibri" w:hAnsi="Calibri" w:cs="Calibri"/>
                <w:color w:val="auto"/>
                <w:sz w:val="18"/>
                <w:szCs w:val="22"/>
                <w:lang w:val="sv-SE"/>
              </w:rPr>
              <w:t>A</w:t>
            </w:r>
            <w:r w:rsidRPr="00702E89">
              <w:rPr>
                <w:rFonts w:ascii="Calibri" w:hAnsi="Calibri" w:cs="Calibri"/>
                <w:color w:val="auto"/>
                <w:sz w:val="18"/>
                <w:szCs w:val="22"/>
                <w:lang w:val="sv-SE"/>
              </w:rPr>
              <w:t xml:space="preserve">teneo, per aiutare gli studenti del primo anno ad acquisire tutti </w:t>
            </w:r>
            <w:r>
              <w:rPr>
                <w:rFonts w:ascii="Calibri" w:hAnsi="Calibri" w:cs="Calibri"/>
                <w:color w:val="auto"/>
                <w:sz w:val="18"/>
                <w:szCs w:val="22"/>
                <w:lang w:val="sv-SE"/>
              </w:rPr>
              <w:t>o gran parte dei CFU previsti;</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 xml:space="preserve">e) </w:t>
            </w:r>
            <w:r w:rsidR="005438CA">
              <w:rPr>
                <w:rFonts w:ascii="Calibri" w:hAnsi="Calibri" w:cs="Calibri"/>
                <w:color w:val="auto"/>
                <w:sz w:val="18"/>
                <w:szCs w:val="22"/>
                <w:lang w:val="sv-SE"/>
              </w:rPr>
              <w:t>valutare l’adesion</w:t>
            </w:r>
            <w:r>
              <w:rPr>
                <w:rFonts w:ascii="Calibri" w:hAnsi="Calibri" w:cs="Calibri"/>
                <w:color w:val="auto"/>
                <w:sz w:val="18"/>
                <w:szCs w:val="22"/>
                <w:lang w:val="sv-SE"/>
              </w:rPr>
              <w:t>e in via sperimentale all’ampliamento degli appelli riservati di novembre ed aprile ai ”fuori corso in itinere”, vale a dire agli studenti iscritti dal terzo anno in poi, rimasti indietro con gli esami fondamentali; f)</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partecipare a reti nazionali fra Atenei al fine di ottenere fondi ad hoc per creare ulteriori servizi di supporto ed orientamento in itinere</w:t>
            </w:r>
            <w:r w:rsidRPr="00702E89">
              <w:rPr>
                <w:rFonts w:ascii="Calibri" w:hAnsi="Calibri" w:cs="Calibri"/>
                <w:color w:val="auto"/>
                <w:sz w:val="18"/>
                <w:szCs w:val="22"/>
                <w:lang w:val="sv-SE"/>
              </w:rPr>
              <w:t>.</w:t>
            </w:r>
          </w:p>
          <w:p w:rsidR="00431963" w:rsidP="00431963" w:rsidRDefault="00431963" w14:paraId="45ABCAA1" w14:textId="77B61F70">
            <w:pPr>
              <w:pStyle w:val="Default"/>
              <w:mirrorIndents/>
              <w:jc w:val="both"/>
              <w:rPr>
                <w:rFonts w:ascii="Calibri" w:hAnsi="Calibri" w:cs="Calibri"/>
                <w:color w:val="auto"/>
                <w:sz w:val="18"/>
                <w:szCs w:val="22"/>
                <w:lang w:val="sv-SE"/>
              </w:rPr>
            </w:pPr>
            <w:r w:rsidRPr="009301EC">
              <w:rPr>
                <w:rFonts w:ascii="Calibri" w:hAnsi="Calibri" w:cs="Calibri"/>
                <w:b/>
                <w:color w:val="auto"/>
                <w:sz w:val="18"/>
                <w:szCs w:val="22"/>
                <w:lang w:val="sv-SE"/>
              </w:rPr>
              <w:t>Indicatore iC10</w:t>
            </w:r>
            <w:r>
              <w:rPr>
                <w:rFonts w:ascii="Calibri" w:hAnsi="Calibri" w:cs="Calibri"/>
                <w:color w:val="auto"/>
                <w:sz w:val="18"/>
                <w:szCs w:val="22"/>
                <w:lang w:val="sv-SE"/>
              </w:rPr>
              <w:t xml:space="preserve">: i </w:t>
            </w:r>
            <w:r w:rsidRPr="00702E89">
              <w:rPr>
                <w:rFonts w:ascii="Calibri" w:hAnsi="Calibri" w:cs="Calibri"/>
                <w:color w:val="auto"/>
                <w:sz w:val="18"/>
                <w:szCs w:val="22"/>
                <w:lang w:val="sv-SE"/>
              </w:rPr>
              <w:t xml:space="preserve">dati </w:t>
            </w:r>
            <w:r w:rsidR="005438CA">
              <w:rPr>
                <w:rFonts w:ascii="Calibri" w:hAnsi="Calibri" w:cs="Calibri"/>
                <w:color w:val="auto"/>
                <w:sz w:val="18"/>
                <w:szCs w:val="22"/>
                <w:lang w:val="sv-SE"/>
              </w:rPr>
              <w:t>evidenzia</w:t>
            </w:r>
            <w:r w:rsidRPr="00702E89">
              <w:rPr>
                <w:rFonts w:ascii="Calibri" w:hAnsi="Calibri" w:cs="Calibri"/>
                <w:color w:val="auto"/>
                <w:sz w:val="18"/>
                <w:szCs w:val="22"/>
                <w:lang w:val="sv-SE"/>
              </w:rPr>
              <w:t xml:space="preserve">no </w:t>
            </w:r>
            <w:r w:rsidR="005438CA">
              <w:rPr>
                <w:rFonts w:ascii="Calibri" w:hAnsi="Calibri" w:cs="Calibri"/>
                <w:color w:val="auto"/>
                <w:sz w:val="18"/>
                <w:szCs w:val="22"/>
                <w:lang w:val="sv-SE"/>
              </w:rPr>
              <w:t xml:space="preserve">la necessità di rafforzare </w:t>
            </w:r>
            <w:r w:rsidRPr="00702E89">
              <w:rPr>
                <w:rFonts w:ascii="Calibri" w:hAnsi="Calibri" w:cs="Calibri"/>
                <w:color w:val="auto"/>
                <w:sz w:val="18"/>
                <w:szCs w:val="22"/>
                <w:lang w:val="sv-SE"/>
              </w:rPr>
              <w:t>le azioni intraprese dal CdS al fine di incrementare le attività formative svolte dai propri studenti all’estero, migliorando l’offerta didattica nelle materie più legate all’internazionalizzazione. In particolare, il dato del 201</w:t>
            </w:r>
            <w:r w:rsidR="005438CA">
              <w:rPr>
                <w:rFonts w:ascii="Calibri" w:hAnsi="Calibri" w:cs="Calibri"/>
                <w:color w:val="auto"/>
                <w:sz w:val="18"/>
                <w:szCs w:val="22"/>
                <w:lang w:val="sv-SE"/>
              </w:rPr>
              <w:t>8</w:t>
            </w:r>
            <w:r w:rsidRPr="00702E89">
              <w:rPr>
                <w:rFonts w:ascii="Calibri" w:hAnsi="Calibri" w:cs="Calibri"/>
                <w:color w:val="auto"/>
                <w:sz w:val="18"/>
                <w:szCs w:val="22"/>
                <w:lang w:val="sv-SE"/>
              </w:rPr>
              <w:t xml:space="preserve"> </w:t>
            </w:r>
            <w:r w:rsidR="005438CA">
              <w:rPr>
                <w:rFonts w:ascii="Calibri" w:hAnsi="Calibri" w:cs="Calibri"/>
                <w:color w:val="auto"/>
                <w:sz w:val="18"/>
                <w:szCs w:val="22"/>
                <w:lang w:val="sv-SE"/>
              </w:rPr>
              <w:t>(ultimo anno di riferimento disponibile) degli</w:t>
            </w:r>
            <w:r w:rsidRPr="00702E89">
              <w:rPr>
                <w:rFonts w:ascii="Calibri" w:hAnsi="Calibri" w:cs="Calibri"/>
                <w:color w:val="auto"/>
                <w:sz w:val="18"/>
                <w:szCs w:val="22"/>
                <w:lang w:val="sv-SE"/>
              </w:rPr>
              <w:t xml:space="preserve"> studenti regolari, i quali hanno conseguito CFU all’estero entro la durata normale del corso</w:t>
            </w:r>
            <w:r w:rsidR="005438CA">
              <w:rPr>
                <w:rFonts w:ascii="Calibri" w:hAnsi="Calibri" w:cs="Calibri"/>
                <w:color w:val="auto"/>
                <w:sz w:val="18"/>
                <w:szCs w:val="22"/>
                <w:lang w:val="sv-SE"/>
              </w:rPr>
              <w:t xml:space="preserve"> (16,2%</w:t>
            </w:r>
            <w:r w:rsidR="005438CA">
              <w:rPr>
                <w:rFonts w:ascii="Calibri" w:hAnsi="Calibri" w:cs="Calibri"/>
                <w:color w:val="auto"/>
                <w:sz w:val="18"/>
                <w:szCs w:val="22"/>
                <w:vertAlign w:val="subscript"/>
                <w:lang w:val="sv-SE"/>
              </w:rPr>
              <w:t>0</w:t>
            </w:r>
            <w:r w:rsidR="005438CA">
              <w:rPr>
                <w:rFonts w:ascii="Calibri" w:hAnsi="Calibri" w:cs="Calibri"/>
                <w:color w:val="auto"/>
                <w:sz w:val="18"/>
                <w:szCs w:val="22"/>
                <w:lang w:val="sv-SE"/>
              </w:rPr>
              <w:t>), appare in linea con quello del 2017 (16,6%</w:t>
            </w:r>
            <w:r w:rsidR="005438CA">
              <w:rPr>
                <w:rFonts w:ascii="Calibri" w:hAnsi="Calibri" w:cs="Calibri"/>
                <w:color w:val="auto"/>
                <w:sz w:val="18"/>
                <w:szCs w:val="22"/>
                <w:vertAlign w:val="subscript"/>
                <w:lang w:val="sv-SE"/>
              </w:rPr>
              <w:t>0</w:t>
            </w:r>
            <w:r w:rsidR="005438CA">
              <w:rPr>
                <w:rFonts w:ascii="Calibri" w:hAnsi="Calibri" w:cs="Calibri"/>
                <w:color w:val="auto"/>
                <w:sz w:val="18"/>
                <w:szCs w:val="22"/>
                <w:lang w:val="sv-SE"/>
              </w:rPr>
              <w:t>), ma s</w:t>
            </w:r>
            <w:r w:rsidRPr="00702E89">
              <w:rPr>
                <w:rFonts w:ascii="Calibri" w:hAnsi="Calibri" w:cs="Calibri"/>
                <w:color w:val="auto"/>
                <w:sz w:val="18"/>
                <w:szCs w:val="22"/>
                <w:lang w:val="sv-SE"/>
              </w:rPr>
              <w:t xml:space="preserve">i </w:t>
            </w:r>
            <w:r w:rsidR="005438CA">
              <w:rPr>
                <w:rFonts w:ascii="Calibri" w:hAnsi="Calibri" w:cs="Calibri"/>
                <w:color w:val="auto"/>
                <w:sz w:val="18"/>
                <w:szCs w:val="22"/>
                <w:lang w:val="sv-SE"/>
              </w:rPr>
              <w:t xml:space="preserve">presenta ancora </w:t>
            </w:r>
            <w:r w:rsidRPr="00702E89">
              <w:rPr>
                <w:rFonts w:ascii="Calibri" w:hAnsi="Calibri" w:cs="Calibri"/>
                <w:color w:val="auto"/>
                <w:sz w:val="18"/>
                <w:szCs w:val="22"/>
                <w:lang w:val="sv-SE"/>
              </w:rPr>
              <w:t>i</w:t>
            </w:r>
            <w:r w:rsidR="005438CA">
              <w:rPr>
                <w:rFonts w:ascii="Calibri" w:hAnsi="Calibri" w:cs="Calibri"/>
                <w:color w:val="auto"/>
                <w:sz w:val="18"/>
                <w:szCs w:val="22"/>
                <w:lang w:val="sv-SE"/>
              </w:rPr>
              <w:t>nferiore</w:t>
            </w:r>
            <w:r w:rsidRPr="00702E89">
              <w:rPr>
                <w:rFonts w:ascii="Calibri" w:hAnsi="Calibri" w:cs="Calibri"/>
                <w:color w:val="auto"/>
                <w:sz w:val="18"/>
                <w:szCs w:val="22"/>
                <w:lang w:val="sv-SE"/>
              </w:rPr>
              <w:t xml:space="preserve"> </w:t>
            </w:r>
            <w:r w:rsidR="005438CA">
              <w:rPr>
                <w:rFonts w:ascii="Calibri" w:hAnsi="Calibri" w:cs="Calibri"/>
                <w:color w:val="auto"/>
                <w:sz w:val="18"/>
                <w:szCs w:val="22"/>
                <w:lang w:val="sv-SE"/>
              </w:rPr>
              <w:t xml:space="preserve">al </w:t>
            </w:r>
            <w:r w:rsidRPr="00702E89">
              <w:rPr>
                <w:rFonts w:ascii="Calibri" w:hAnsi="Calibri" w:cs="Calibri"/>
                <w:color w:val="auto"/>
                <w:sz w:val="18"/>
                <w:szCs w:val="22"/>
                <w:lang w:val="sv-SE"/>
              </w:rPr>
              <w:t>dat</w:t>
            </w:r>
            <w:r w:rsidR="005438CA">
              <w:rPr>
                <w:rFonts w:ascii="Calibri" w:hAnsi="Calibri" w:cs="Calibri"/>
                <w:color w:val="auto"/>
                <w:sz w:val="18"/>
                <w:szCs w:val="22"/>
                <w:lang w:val="sv-SE"/>
              </w:rPr>
              <w:t>o</w:t>
            </w:r>
            <w:r w:rsidRPr="00702E89">
              <w:rPr>
                <w:rFonts w:ascii="Calibri" w:hAnsi="Calibri" w:cs="Calibri"/>
                <w:color w:val="auto"/>
                <w:sz w:val="18"/>
                <w:szCs w:val="22"/>
                <w:lang w:val="sv-SE"/>
              </w:rPr>
              <w:t xml:space="preserve"> della media dell’area geografica </w:t>
            </w:r>
            <w:r>
              <w:rPr>
                <w:rFonts w:ascii="Calibri" w:hAnsi="Calibri" w:cs="Calibri"/>
                <w:color w:val="auto"/>
                <w:sz w:val="18"/>
                <w:szCs w:val="22"/>
                <w:lang w:val="sv-SE"/>
              </w:rPr>
              <w:t>(2</w:t>
            </w:r>
            <w:r w:rsidR="005438CA">
              <w:rPr>
                <w:rFonts w:ascii="Calibri" w:hAnsi="Calibri" w:cs="Calibri"/>
                <w:color w:val="auto"/>
                <w:sz w:val="18"/>
                <w:szCs w:val="22"/>
                <w:lang w:val="sv-SE"/>
              </w:rPr>
              <w:t>9</w:t>
            </w:r>
            <w:r>
              <w:rPr>
                <w:rFonts w:ascii="Calibri" w:hAnsi="Calibri" w:cs="Calibri"/>
                <w:color w:val="auto"/>
                <w:sz w:val="18"/>
                <w:szCs w:val="22"/>
                <w:lang w:val="sv-SE"/>
              </w:rPr>
              <w:t>,</w:t>
            </w:r>
            <w:r w:rsidR="005438CA">
              <w:rPr>
                <w:rFonts w:ascii="Calibri" w:hAnsi="Calibri" w:cs="Calibri"/>
                <w:color w:val="auto"/>
                <w:sz w:val="18"/>
                <w:szCs w:val="22"/>
                <w:lang w:val="sv-SE"/>
              </w:rPr>
              <w:t>5</w:t>
            </w:r>
            <w:r>
              <w:rPr>
                <w:rFonts w:ascii="Calibri" w:hAnsi="Calibri" w:cs="Calibri"/>
                <w:color w:val="auto"/>
                <w:sz w:val="18"/>
                <w:szCs w:val="22"/>
                <w:lang w:val="sv-SE"/>
              </w:rPr>
              <w:t>%</w:t>
            </w:r>
            <w:r w:rsidR="00604955">
              <w:rPr>
                <w:rFonts w:ascii="Calibri" w:hAnsi="Calibri" w:cs="Calibri"/>
                <w:color w:val="auto"/>
                <w:sz w:val="18"/>
                <w:szCs w:val="22"/>
                <w:vertAlign w:val="subscript"/>
                <w:lang w:val="sv-SE"/>
              </w:rPr>
              <w:t>0</w:t>
            </w:r>
            <w:r>
              <w:rPr>
                <w:rFonts w:ascii="Calibri" w:hAnsi="Calibri" w:cs="Calibri"/>
                <w:color w:val="auto"/>
                <w:sz w:val="18"/>
                <w:szCs w:val="22"/>
                <w:lang w:val="sv-SE"/>
              </w:rPr>
              <w:t xml:space="preserve">) e con </w:t>
            </w:r>
            <w:r w:rsidRPr="00702E89">
              <w:rPr>
                <w:rFonts w:ascii="Calibri" w:hAnsi="Calibri" w:cs="Calibri"/>
                <w:color w:val="auto"/>
                <w:sz w:val="18"/>
                <w:szCs w:val="22"/>
                <w:lang w:val="sv-SE"/>
              </w:rPr>
              <w:t>i dati della media nazionale</w:t>
            </w:r>
            <w:r>
              <w:rPr>
                <w:rFonts w:ascii="Calibri" w:hAnsi="Calibri" w:cs="Calibri"/>
                <w:color w:val="auto"/>
                <w:sz w:val="18"/>
                <w:szCs w:val="22"/>
                <w:lang w:val="sv-SE"/>
              </w:rPr>
              <w:t xml:space="preserve"> (2</w:t>
            </w:r>
            <w:r w:rsidR="005438CA">
              <w:rPr>
                <w:rFonts w:ascii="Calibri" w:hAnsi="Calibri" w:cs="Calibri"/>
                <w:color w:val="auto"/>
                <w:sz w:val="18"/>
                <w:szCs w:val="22"/>
                <w:lang w:val="sv-SE"/>
              </w:rPr>
              <w:t>5</w:t>
            </w:r>
            <w:r>
              <w:rPr>
                <w:rFonts w:ascii="Calibri" w:hAnsi="Calibri" w:cs="Calibri"/>
                <w:color w:val="auto"/>
                <w:sz w:val="18"/>
                <w:szCs w:val="22"/>
                <w:lang w:val="sv-SE"/>
              </w:rPr>
              <w:t>,</w:t>
            </w:r>
            <w:r w:rsidR="005438CA">
              <w:rPr>
                <w:rFonts w:ascii="Calibri" w:hAnsi="Calibri" w:cs="Calibri"/>
                <w:color w:val="auto"/>
                <w:sz w:val="18"/>
                <w:szCs w:val="22"/>
                <w:lang w:val="sv-SE"/>
              </w:rPr>
              <w:t>1</w:t>
            </w:r>
            <w:r>
              <w:rPr>
                <w:rFonts w:ascii="Calibri" w:hAnsi="Calibri" w:cs="Calibri"/>
                <w:color w:val="auto"/>
                <w:sz w:val="18"/>
                <w:szCs w:val="22"/>
                <w:lang w:val="sv-SE"/>
              </w:rPr>
              <w:t>%</w:t>
            </w:r>
            <w:r w:rsidR="00604955">
              <w:rPr>
                <w:rFonts w:ascii="Calibri" w:hAnsi="Calibri" w:cs="Calibri"/>
                <w:color w:val="auto"/>
                <w:sz w:val="18"/>
                <w:szCs w:val="22"/>
                <w:vertAlign w:val="subscript"/>
                <w:lang w:val="sv-SE"/>
              </w:rPr>
              <w:t>0</w:t>
            </w:r>
            <w:r>
              <w:rPr>
                <w:rFonts w:ascii="Calibri" w:hAnsi="Calibri" w:cs="Calibri"/>
                <w:color w:val="auto"/>
                <w:sz w:val="18"/>
                <w:szCs w:val="22"/>
                <w:lang w:val="sv-SE"/>
              </w:rPr>
              <w:t xml:space="preserve">). </w:t>
            </w:r>
          </w:p>
          <w:p w:rsidR="00431963" w:rsidP="00431963" w:rsidRDefault="00431963" w14:paraId="6A8959ED" w14:textId="77777777">
            <w:pPr>
              <w:pStyle w:val="Default"/>
              <w:mirrorIndents/>
              <w:jc w:val="both"/>
              <w:rPr>
                <w:rFonts w:ascii="Calibri" w:hAnsi="Calibri" w:cs="Calibri"/>
                <w:color w:val="auto"/>
                <w:sz w:val="18"/>
                <w:szCs w:val="22"/>
                <w:highlight w:val="yellow"/>
                <w:lang w:val="sv-SE"/>
              </w:rPr>
            </w:pPr>
          </w:p>
          <w:p w:rsidRPr="000F1293" w:rsidR="00431963" w:rsidP="00431963" w:rsidRDefault="00431963" w14:paraId="324BD854" w14:textId="77777777">
            <w:pPr>
              <w:pStyle w:val="Default"/>
              <w:mirrorIndents/>
              <w:jc w:val="both"/>
              <w:rPr>
                <w:rFonts w:ascii="Calibri" w:hAnsi="Calibri" w:cs="Calibri"/>
                <w:b/>
                <w:color w:val="auto"/>
                <w:sz w:val="18"/>
                <w:szCs w:val="22"/>
                <w:lang w:val="sv-SE"/>
              </w:rPr>
            </w:pPr>
            <w:r w:rsidRPr="000F1293">
              <w:rPr>
                <w:rFonts w:ascii="Calibri" w:hAnsi="Calibri" w:cs="Calibri"/>
                <w:b/>
                <w:color w:val="auto"/>
                <w:sz w:val="18"/>
                <w:szCs w:val="22"/>
                <w:lang w:val="sv-SE"/>
              </w:rPr>
              <w:t>Indicatori sui laureati</w:t>
            </w:r>
          </w:p>
          <w:p w:rsidR="00431963" w:rsidP="00431963" w:rsidRDefault="00431963" w14:paraId="22B6D254" w14:textId="0291D660">
            <w:pPr>
              <w:pStyle w:val="Default"/>
              <w:mirrorIndents/>
              <w:jc w:val="both"/>
              <w:rPr>
                <w:rFonts w:ascii="Calibri" w:hAnsi="Calibri" w:cs="Calibri"/>
                <w:color w:val="auto"/>
                <w:sz w:val="18"/>
                <w:szCs w:val="22"/>
                <w:highlight w:val="yellow"/>
                <w:lang w:val="sv-SE"/>
              </w:rPr>
            </w:pPr>
            <w:r w:rsidRPr="000F1293">
              <w:rPr>
                <w:rFonts w:ascii="Calibri" w:hAnsi="Calibri" w:cs="Calibri"/>
                <w:color w:val="auto"/>
                <w:sz w:val="18"/>
                <w:szCs w:val="22"/>
                <w:lang w:val="sv-SE"/>
              </w:rPr>
              <w:t>iC</w:t>
            </w:r>
            <w:r>
              <w:rPr>
                <w:rFonts w:ascii="Calibri" w:hAnsi="Calibri" w:cs="Calibri"/>
                <w:color w:val="auto"/>
                <w:sz w:val="18"/>
                <w:szCs w:val="22"/>
                <w:lang w:val="sv-SE"/>
              </w:rPr>
              <w:t>02,</w:t>
            </w:r>
            <w:r w:rsidR="00167F2C">
              <w:rPr>
                <w:rFonts w:ascii="Calibri" w:hAnsi="Calibri" w:cs="Calibri"/>
                <w:color w:val="auto"/>
                <w:sz w:val="18"/>
                <w:szCs w:val="22"/>
                <w:lang w:val="sv-SE"/>
              </w:rPr>
              <w:t xml:space="preserve"> </w:t>
            </w:r>
            <w:r>
              <w:rPr>
                <w:rFonts w:ascii="Calibri" w:hAnsi="Calibri" w:cs="Calibri"/>
                <w:color w:val="auto"/>
                <w:sz w:val="18"/>
                <w:szCs w:val="22"/>
                <w:lang w:val="sv-SE"/>
              </w:rPr>
              <w:t>iC22, iC17, iC11</w:t>
            </w:r>
            <w:r w:rsidR="00167F2C">
              <w:rPr>
                <w:rFonts w:ascii="Calibri" w:hAnsi="Calibri" w:cs="Calibri"/>
                <w:color w:val="auto"/>
                <w:sz w:val="18"/>
                <w:szCs w:val="22"/>
                <w:lang w:val="sv-SE"/>
              </w:rPr>
              <w:t>, iC00h</w:t>
            </w:r>
          </w:p>
          <w:p w:rsidR="00431963" w:rsidP="00431963" w:rsidRDefault="00431963" w14:paraId="5AAFA2C0" w14:textId="77777777">
            <w:pPr>
              <w:pStyle w:val="Default"/>
              <w:mirrorIndents/>
              <w:jc w:val="both"/>
              <w:rPr>
                <w:rFonts w:ascii="Calibri" w:hAnsi="Calibri" w:cs="Calibri"/>
                <w:color w:val="auto"/>
                <w:sz w:val="18"/>
                <w:szCs w:val="22"/>
                <w:highlight w:val="yellow"/>
                <w:lang w:val="sv-SE"/>
              </w:rPr>
            </w:pPr>
          </w:p>
          <w:p w:rsidRPr="00702E89" w:rsidR="00431963" w:rsidP="00431963" w:rsidRDefault="00693D8E" w14:paraId="1F038F78" w14:textId="1B6D594B">
            <w:pPr>
              <w:pStyle w:val="Default"/>
              <w:mirrorIndents/>
              <w:jc w:val="both"/>
              <w:rPr>
                <w:rFonts w:ascii="Calibri" w:hAnsi="Calibri" w:cs="Calibri"/>
                <w:color w:val="auto"/>
                <w:sz w:val="18"/>
                <w:szCs w:val="22"/>
                <w:lang w:val="sv-SE"/>
              </w:rPr>
            </w:pPr>
            <w:r>
              <w:rPr>
                <w:rFonts w:ascii="Calibri" w:hAnsi="Calibri" w:cs="Calibri"/>
                <w:color w:val="auto"/>
                <w:sz w:val="18"/>
                <w:szCs w:val="22"/>
                <w:lang w:val="sv-SE"/>
              </w:rPr>
              <w:t>Per il 2019 c</w:t>
            </w:r>
            <w:r w:rsidRPr="000F1293" w:rsidR="00431963">
              <w:rPr>
                <w:rFonts w:ascii="Calibri" w:hAnsi="Calibri" w:cs="Calibri"/>
                <w:color w:val="auto"/>
                <w:sz w:val="18"/>
                <w:szCs w:val="22"/>
                <w:lang w:val="sv-SE"/>
              </w:rPr>
              <w:t xml:space="preserve">ontinua ad essere bassa la percentuale dei laureati entro la durata nomale del </w:t>
            </w:r>
            <w:r w:rsidR="00431963">
              <w:rPr>
                <w:rFonts w:ascii="Calibri" w:hAnsi="Calibri" w:cs="Calibri"/>
                <w:color w:val="auto"/>
                <w:sz w:val="18"/>
                <w:szCs w:val="22"/>
                <w:lang w:val="sv-SE"/>
              </w:rPr>
              <w:t>corso</w:t>
            </w:r>
            <w:r w:rsidRPr="000F1293" w:rsidR="00431963">
              <w:rPr>
                <w:rFonts w:ascii="Calibri" w:hAnsi="Calibri" w:cs="Calibri"/>
                <w:color w:val="auto"/>
                <w:sz w:val="18"/>
                <w:szCs w:val="22"/>
                <w:lang w:val="sv-SE"/>
              </w:rPr>
              <w:t xml:space="preserve"> (</w:t>
            </w:r>
            <w:r w:rsidRPr="001B2C02" w:rsidR="00431963">
              <w:rPr>
                <w:rFonts w:ascii="Calibri" w:hAnsi="Calibri" w:cs="Calibri"/>
                <w:b/>
                <w:color w:val="auto"/>
                <w:sz w:val="18"/>
                <w:szCs w:val="22"/>
                <w:lang w:val="sv-SE"/>
              </w:rPr>
              <w:t>indicatore</w:t>
            </w:r>
            <w:r w:rsidR="00431963">
              <w:rPr>
                <w:rFonts w:ascii="Calibri" w:hAnsi="Calibri" w:cs="Calibri"/>
                <w:color w:val="auto"/>
                <w:sz w:val="18"/>
                <w:szCs w:val="22"/>
                <w:lang w:val="sv-SE"/>
              </w:rPr>
              <w:t xml:space="preserve"> </w:t>
            </w:r>
            <w:r w:rsidRPr="001B2C02" w:rsidR="00431963">
              <w:rPr>
                <w:rFonts w:ascii="Calibri" w:hAnsi="Calibri" w:cs="Calibri"/>
                <w:b/>
                <w:color w:val="auto"/>
                <w:sz w:val="18"/>
                <w:szCs w:val="22"/>
                <w:lang w:val="sv-SE"/>
              </w:rPr>
              <w:t>iC02</w:t>
            </w:r>
            <w:r w:rsidRPr="000F1293" w:rsidR="00431963">
              <w:rPr>
                <w:rFonts w:ascii="Calibri" w:hAnsi="Calibri" w:cs="Calibri"/>
                <w:color w:val="auto"/>
                <w:sz w:val="18"/>
                <w:szCs w:val="22"/>
                <w:lang w:val="sv-SE"/>
              </w:rPr>
              <w:t xml:space="preserve">), </w:t>
            </w:r>
            <w:r>
              <w:rPr>
                <w:rFonts w:ascii="Calibri" w:hAnsi="Calibri" w:cs="Calibri"/>
                <w:color w:val="auto"/>
                <w:sz w:val="18"/>
                <w:szCs w:val="22"/>
                <w:lang w:val="sv-SE"/>
              </w:rPr>
              <w:t xml:space="preserve">ma </w:t>
            </w:r>
            <w:r w:rsidRPr="000F1293" w:rsidR="00431963">
              <w:rPr>
                <w:rFonts w:ascii="Calibri" w:hAnsi="Calibri" w:cs="Calibri"/>
                <w:color w:val="auto"/>
                <w:sz w:val="18"/>
                <w:szCs w:val="22"/>
                <w:lang w:val="sv-SE"/>
              </w:rPr>
              <w:t xml:space="preserve">con un </w:t>
            </w:r>
            <w:r>
              <w:rPr>
                <w:rFonts w:ascii="Calibri" w:hAnsi="Calibri" w:cs="Calibri"/>
                <w:color w:val="auto"/>
                <w:sz w:val="18"/>
                <w:szCs w:val="22"/>
                <w:lang w:val="sv-SE"/>
              </w:rPr>
              <w:t>incremento su</w:t>
            </w:r>
            <w:r w:rsidRPr="000F1293" w:rsidR="00431963">
              <w:rPr>
                <w:rFonts w:ascii="Calibri" w:hAnsi="Calibri" w:cs="Calibri"/>
                <w:color w:val="auto"/>
                <w:sz w:val="18"/>
                <w:szCs w:val="22"/>
                <w:lang w:val="sv-SE"/>
              </w:rPr>
              <w:t>l 2018 (</w:t>
            </w:r>
            <w:r>
              <w:rPr>
                <w:rFonts w:ascii="Calibri" w:hAnsi="Calibri" w:cs="Calibri"/>
                <w:color w:val="auto"/>
                <w:sz w:val="18"/>
                <w:szCs w:val="22"/>
                <w:lang w:val="sv-SE"/>
              </w:rPr>
              <w:t xml:space="preserve">23,0% contro il </w:t>
            </w:r>
            <w:r w:rsidRPr="000F1293" w:rsidR="00431963">
              <w:rPr>
                <w:rFonts w:ascii="Calibri" w:hAnsi="Calibri" w:cs="Calibri"/>
                <w:color w:val="auto"/>
                <w:sz w:val="18"/>
                <w:szCs w:val="22"/>
                <w:lang w:val="sv-SE"/>
              </w:rPr>
              <w:t>20,4%).</w:t>
            </w:r>
            <w:r w:rsidR="00431963">
              <w:rPr>
                <w:rFonts w:ascii="Calibri" w:hAnsi="Calibri" w:cs="Calibri"/>
                <w:color w:val="auto"/>
                <w:sz w:val="18"/>
                <w:szCs w:val="22"/>
                <w:lang w:val="sv-SE"/>
              </w:rPr>
              <w:t xml:space="preserve"> Tale dato</w:t>
            </w:r>
            <w:r>
              <w:rPr>
                <w:rFonts w:ascii="Calibri" w:hAnsi="Calibri" w:cs="Calibri"/>
                <w:color w:val="auto"/>
                <w:sz w:val="18"/>
                <w:szCs w:val="22"/>
                <w:lang w:val="sv-SE"/>
              </w:rPr>
              <w:t xml:space="preserve"> </w:t>
            </w:r>
            <w:r w:rsidR="00431963">
              <w:rPr>
                <w:rFonts w:ascii="Calibri" w:hAnsi="Calibri" w:cs="Calibri"/>
                <w:color w:val="auto"/>
                <w:sz w:val="18"/>
                <w:szCs w:val="22"/>
                <w:lang w:val="sv-SE"/>
              </w:rPr>
              <w:t>va messo a confronto con quello contenuto nell’i</w:t>
            </w:r>
            <w:r w:rsidRPr="001F265E" w:rsidR="00431963">
              <w:rPr>
                <w:rFonts w:ascii="Calibri" w:hAnsi="Calibri" w:cs="Calibri"/>
                <w:b/>
                <w:color w:val="auto"/>
                <w:sz w:val="18"/>
                <w:szCs w:val="22"/>
                <w:lang w:val="sv-SE"/>
              </w:rPr>
              <w:t>ndicatore</w:t>
            </w:r>
            <w:r w:rsidR="00431963">
              <w:rPr>
                <w:rFonts w:ascii="Calibri" w:hAnsi="Calibri" w:cs="Calibri"/>
                <w:color w:val="auto"/>
                <w:sz w:val="18"/>
                <w:szCs w:val="22"/>
                <w:lang w:val="sv-SE"/>
              </w:rPr>
              <w:t xml:space="preserve"> </w:t>
            </w:r>
            <w:r w:rsidRPr="001F265E" w:rsidR="00431963">
              <w:rPr>
                <w:rFonts w:ascii="Calibri" w:hAnsi="Calibri" w:cs="Calibri"/>
                <w:b/>
                <w:color w:val="auto"/>
                <w:sz w:val="18"/>
                <w:szCs w:val="22"/>
                <w:lang w:val="sv-SE"/>
              </w:rPr>
              <w:t>iC22</w:t>
            </w:r>
            <w:r w:rsidR="00431963">
              <w:rPr>
                <w:rFonts w:ascii="Calibri" w:hAnsi="Calibri" w:cs="Calibri"/>
                <w:color w:val="auto"/>
                <w:sz w:val="18"/>
                <w:szCs w:val="22"/>
                <w:lang w:val="sv-SE"/>
              </w:rPr>
              <w:t>,</w:t>
            </w:r>
            <w:r w:rsidRPr="00702E89" w:rsidR="00431963">
              <w:rPr>
                <w:rFonts w:ascii="Calibri" w:hAnsi="Calibri" w:cs="Calibri"/>
                <w:color w:val="auto"/>
                <w:sz w:val="18"/>
                <w:szCs w:val="22"/>
                <w:lang w:val="sv-SE"/>
              </w:rPr>
              <w:t xml:space="preserve"> </w:t>
            </w:r>
            <w:r w:rsidR="00431963">
              <w:rPr>
                <w:rFonts w:ascii="Calibri" w:hAnsi="Calibri" w:cs="Calibri"/>
                <w:color w:val="auto"/>
                <w:sz w:val="18"/>
                <w:szCs w:val="22"/>
                <w:lang w:val="sv-SE"/>
              </w:rPr>
              <w:t xml:space="preserve">che </w:t>
            </w:r>
            <w:r w:rsidRPr="00702E89" w:rsidR="00431963">
              <w:rPr>
                <w:rFonts w:ascii="Calibri" w:hAnsi="Calibri" w:cs="Calibri"/>
                <w:color w:val="auto"/>
                <w:sz w:val="18"/>
                <w:szCs w:val="22"/>
                <w:lang w:val="sv-SE"/>
              </w:rPr>
              <w:t>dimostra</w:t>
            </w:r>
            <w:r w:rsidR="00431963">
              <w:rPr>
                <w:rFonts w:ascii="Calibri" w:hAnsi="Calibri" w:cs="Calibri"/>
                <w:color w:val="auto"/>
                <w:sz w:val="18"/>
                <w:szCs w:val="22"/>
                <w:lang w:val="sv-SE"/>
              </w:rPr>
              <w:t xml:space="preserve"> che nel 2018</w:t>
            </w:r>
            <w:r w:rsidRPr="00702E89" w:rsidR="00431963">
              <w:rPr>
                <w:rFonts w:ascii="Calibri" w:hAnsi="Calibri" w:cs="Calibri"/>
                <w:color w:val="auto"/>
                <w:sz w:val="18"/>
                <w:szCs w:val="22"/>
                <w:lang w:val="sv-SE"/>
              </w:rPr>
              <w:t xml:space="preserve"> </w:t>
            </w:r>
            <w:r>
              <w:rPr>
                <w:rFonts w:ascii="Calibri" w:hAnsi="Calibri" w:cs="Calibri"/>
                <w:color w:val="auto"/>
                <w:sz w:val="18"/>
                <w:szCs w:val="22"/>
                <w:lang w:val="sv-SE"/>
              </w:rPr>
              <w:t xml:space="preserve">(ultimo anno di riferimento) </w:t>
            </w:r>
            <w:r w:rsidR="00431963">
              <w:rPr>
                <w:rFonts w:ascii="Calibri" w:hAnsi="Calibri" w:cs="Calibri"/>
                <w:color w:val="auto"/>
                <w:sz w:val="18"/>
                <w:szCs w:val="22"/>
                <w:lang w:val="sv-SE"/>
              </w:rPr>
              <w:t xml:space="preserve">solo </w:t>
            </w:r>
            <w:r>
              <w:rPr>
                <w:rFonts w:ascii="Calibri" w:hAnsi="Calibri" w:cs="Calibri"/>
                <w:color w:val="auto"/>
                <w:sz w:val="18"/>
                <w:szCs w:val="22"/>
                <w:lang w:val="sv-SE"/>
              </w:rPr>
              <w:t xml:space="preserve">il 14,6% </w:t>
            </w:r>
            <w:r w:rsidR="00431963">
              <w:rPr>
                <w:rFonts w:ascii="Calibri" w:hAnsi="Calibri" w:cs="Calibri"/>
                <w:color w:val="auto"/>
                <w:sz w:val="18"/>
                <w:szCs w:val="22"/>
                <w:lang w:val="sv-SE"/>
              </w:rPr>
              <w:t>d</w:t>
            </w:r>
            <w:r>
              <w:rPr>
                <w:rFonts w:ascii="Calibri" w:hAnsi="Calibri" w:cs="Calibri"/>
                <w:color w:val="auto"/>
                <w:sz w:val="18"/>
                <w:szCs w:val="22"/>
                <w:lang w:val="sv-SE"/>
              </w:rPr>
              <w:t>egl</w:t>
            </w:r>
            <w:r w:rsidR="00431963">
              <w:rPr>
                <w:rFonts w:ascii="Calibri" w:hAnsi="Calibri" w:cs="Calibri"/>
                <w:color w:val="auto"/>
                <w:sz w:val="18"/>
                <w:szCs w:val="22"/>
                <w:lang w:val="sv-SE"/>
              </w:rPr>
              <w:t xml:space="preserve">i immatricolati si </w:t>
            </w:r>
            <w:r>
              <w:rPr>
                <w:rFonts w:ascii="Calibri" w:hAnsi="Calibri" w:cs="Calibri"/>
                <w:color w:val="auto"/>
                <w:sz w:val="18"/>
                <w:szCs w:val="22"/>
                <w:lang w:val="sv-SE"/>
              </w:rPr>
              <w:t xml:space="preserve">è </w:t>
            </w:r>
            <w:r w:rsidRPr="00702E89" w:rsidR="00431963">
              <w:rPr>
                <w:rFonts w:ascii="Calibri" w:hAnsi="Calibri" w:cs="Calibri"/>
                <w:color w:val="auto"/>
                <w:sz w:val="18"/>
                <w:szCs w:val="22"/>
                <w:lang w:val="sv-SE"/>
              </w:rPr>
              <w:t>laurea</w:t>
            </w:r>
            <w:r>
              <w:rPr>
                <w:rFonts w:ascii="Calibri" w:hAnsi="Calibri" w:cs="Calibri"/>
                <w:color w:val="auto"/>
                <w:sz w:val="18"/>
                <w:szCs w:val="22"/>
                <w:lang w:val="sv-SE"/>
              </w:rPr>
              <w:t>to</w:t>
            </w:r>
            <w:r w:rsidRPr="00702E89" w:rsidR="00431963">
              <w:rPr>
                <w:rFonts w:ascii="Calibri" w:hAnsi="Calibri" w:cs="Calibri"/>
                <w:color w:val="auto"/>
                <w:sz w:val="18"/>
                <w:szCs w:val="22"/>
                <w:lang w:val="sv-SE"/>
              </w:rPr>
              <w:t xml:space="preserve"> </w:t>
            </w:r>
            <w:r w:rsidR="00431963">
              <w:rPr>
                <w:rFonts w:ascii="Calibri" w:hAnsi="Calibri" w:cs="Calibri"/>
                <w:color w:val="auto"/>
                <w:sz w:val="18"/>
                <w:szCs w:val="22"/>
                <w:lang w:val="sv-SE"/>
              </w:rPr>
              <w:t>e</w:t>
            </w:r>
            <w:r w:rsidRPr="00702E89" w:rsidR="00431963">
              <w:rPr>
                <w:rFonts w:ascii="Calibri" w:hAnsi="Calibri" w:cs="Calibri"/>
                <w:color w:val="auto"/>
                <w:sz w:val="18"/>
                <w:szCs w:val="22"/>
                <w:lang w:val="sv-SE"/>
              </w:rPr>
              <w:t>n</w:t>
            </w:r>
            <w:r w:rsidR="00431963">
              <w:rPr>
                <w:rFonts w:ascii="Calibri" w:hAnsi="Calibri" w:cs="Calibri"/>
                <w:color w:val="auto"/>
                <w:sz w:val="18"/>
                <w:szCs w:val="22"/>
                <w:lang w:val="sv-SE"/>
              </w:rPr>
              <w:t>tro la durata normale del</w:t>
            </w:r>
            <w:r w:rsidRPr="00702E89" w:rsidR="00431963">
              <w:rPr>
                <w:rFonts w:ascii="Calibri" w:hAnsi="Calibri" w:cs="Calibri"/>
                <w:color w:val="auto"/>
                <w:sz w:val="18"/>
                <w:szCs w:val="22"/>
                <w:lang w:val="sv-SE"/>
              </w:rPr>
              <w:t xml:space="preserve"> </w:t>
            </w:r>
            <w:r w:rsidR="00431963">
              <w:rPr>
                <w:rFonts w:ascii="Calibri" w:hAnsi="Calibri" w:cs="Calibri"/>
                <w:color w:val="auto"/>
                <w:sz w:val="18"/>
                <w:szCs w:val="22"/>
                <w:lang w:val="sv-SE"/>
              </w:rPr>
              <w:t>CdS</w:t>
            </w:r>
            <w:r>
              <w:rPr>
                <w:rFonts w:ascii="Calibri" w:hAnsi="Calibri" w:cs="Calibri"/>
                <w:color w:val="auto"/>
                <w:sz w:val="18"/>
                <w:szCs w:val="22"/>
                <w:lang w:val="sv-SE"/>
              </w:rPr>
              <w:t xml:space="preserve">; si tratta di un evidente miglioramento rispetto all’8% del 2017, malgrado sia ancora </w:t>
            </w:r>
            <w:r w:rsidR="00431963">
              <w:rPr>
                <w:rFonts w:ascii="Calibri" w:hAnsi="Calibri" w:cs="Calibri"/>
                <w:color w:val="auto"/>
                <w:sz w:val="18"/>
                <w:szCs w:val="22"/>
                <w:lang w:val="sv-SE"/>
              </w:rPr>
              <w:t xml:space="preserve">un dato </w:t>
            </w:r>
            <w:r w:rsidRPr="00702E89" w:rsidR="00431963">
              <w:rPr>
                <w:rFonts w:ascii="Calibri" w:hAnsi="Calibri" w:cs="Calibri"/>
                <w:color w:val="auto"/>
                <w:sz w:val="18"/>
                <w:szCs w:val="22"/>
                <w:lang w:val="sv-SE"/>
              </w:rPr>
              <w:t xml:space="preserve">inferiore alla media dell’area geografica di riferimento </w:t>
            </w:r>
            <w:r w:rsidR="00431963">
              <w:rPr>
                <w:rFonts w:ascii="Calibri" w:hAnsi="Calibri" w:cs="Calibri"/>
                <w:color w:val="auto"/>
                <w:sz w:val="18"/>
                <w:szCs w:val="22"/>
                <w:lang w:val="sv-SE"/>
              </w:rPr>
              <w:t>(</w:t>
            </w:r>
            <w:r>
              <w:rPr>
                <w:rFonts w:ascii="Calibri" w:hAnsi="Calibri" w:cs="Calibri"/>
                <w:color w:val="auto"/>
                <w:sz w:val="18"/>
                <w:szCs w:val="22"/>
                <w:lang w:val="sv-SE"/>
              </w:rPr>
              <w:t>25,0</w:t>
            </w:r>
            <w:r w:rsidR="00431963">
              <w:rPr>
                <w:rFonts w:ascii="Calibri" w:hAnsi="Calibri" w:cs="Calibri"/>
                <w:color w:val="auto"/>
                <w:sz w:val="18"/>
                <w:szCs w:val="22"/>
                <w:lang w:val="sv-SE"/>
              </w:rPr>
              <w:t xml:space="preserve">%) </w:t>
            </w:r>
            <w:r w:rsidRPr="00702E89" w:rsidR="00431963">
              <w:rPr>
                <w:rFonts w:ascii="Calibri" w:hAnsi="Calibri" w:cs="Calibri"/>
                <w:color w:val="auto"/>
                <w:sz w:val="18"/>
                <w:szCs w:val="22"/>
                <w:lang w:val="sv-SE"/>
              </w:rPr>
              <w:t>ed alla media nazionale</w:t>
            </w:r>
            <w:r w:rsidR="00431963">
              <w:rPr>
                <w:rFonts w:ascii="Calibri" w:hAnsi="Calibri" w:cs="Calibri"/>
                <w:color w:val="auto"/>
                <w:sz w:val="18"/>
                <w:szCs w:val="22"/>
                <w:lang w:val="sv-SE"/>
              </w:rPr>
              <w:t xml:space="preserve"> (</w:t>
            </w:r>
            <w:r>
              <w:rPr>
                <w:rFonts w:ascii="Calibri" w:hAnsi="Calibri" w:cs="Calibri"/>
                <w:color w:val="auto"/>
                <w:sz w:val="18"/>
                <w:szCs w:val="22"/>
                <w:lang w:val="sv-SE"/>
              </w:rPr>
              <w:t>22</w:t>
            </w:r>
            <w:r w:rsidR="00431963">
              <w:rPr>
                <w:rFonts w:ascii="Calibri" w:hAnsi="Calibri" w:cs="Calibri"/>
                <w:color w:val="auto"/>
                <w:sz w:val="18"/>
                <w:szCs w:val="22"/>
                <w:lang w:val="sv-SE"/>
              </w:rPr>
              <w:t>,</w:t>
            </w:r>
            <w:r>
              <w:rPr>
                <w:rFonts w:ascii="Calibri" w:hAnsi="Calibri" w:cs="Calibri"/>
                <w:color w:val="auto"/>
                <w:sz w:val="18"/>
                <w:szCs w:val="22"/>
                <w:lang w:val="sv-SE"/>
              </w:rPr>
              <w:t>9</w:t>
            </w:r>
            <w:r w:rsidR="00431963">
              <w:rPr>
                <w:rFonts w:ascii="Calibri" w:hAnsi="Calibri" w:cs="Calibri"/>
                <w:color w:val="auto"/>
                <w:sz w:val="18"/>
                <w:szCs w:val="22"/>
                <w:lang w:val="sv-SE"/>
              </w:rPr>
              <w:t>%), anch’esse peraltro basse</w:t>
            </w:r>
            <w:r w:rsidRPr="00702E89" w:rsidR="00431963">
              <w:rPr>
                <w:rFonts w:ascii="Calibri" w:hAnsi="Calibri" w:cs="Calibri"/>
                <w:color w:val="auto"/>
                <w:sz w:val="18"/>
                <w:szCs w:val="22"/>
                <w:lang w:val="sv-SE"/>
              </w:rPr>
              <w:t xml:space="preserve">. </w:t>
            </w:r>
            <w:r w:rsidR="00431963">
              <w:rPr>
                <w:rFonts w:ascii="Calibri" w:hAnsi="Calibri" w:cs="Calibri"/>
                <w:color w:val="auto"/>
                <w:sz w:val="18"/>
                <w:szCs w:val="22"/>
                <w:lang w:val="sv-SE"/>
              </w:rPr>
              <w:t>I</w:t>
            </w:r>
            <w:r w:rsidRPr="00702E89" w:rsidR="00431963">
              <w:rPr>
                <w:rFonts w:ascii="Calibri" w:hAnsi="Calibri" w:cs="Calibri"/>
                <w:color w:val="auto"/>
                <w:sz w:val="18"/>
                <w:szCs w:val="22"/>
                <w:lang w:val="sv-SE"/>
              </w:rPr>
              <w:t xml:space="preserve"> dati dell’</w:t>
            </w:r>
            <w:r w:rsidRPr="001F265E" w:rsidR="00431963">
              <w:rPr>
                <w:rFonts w:ascii="Calibri" w:hAnsi="Calibri" w:cs="Calibri"/>
                <w:b/>
                <w:color w:val="auto"/>
                <w:sz w:val="18"/>
                <w:szCs w:val="22"/>
                <w:lang w:val="sv-SE"/>
              </w:rPr>
              <w:t>indicatore</w:t>
            </w:r>
            <w:r w:rsidRPr="00702E89" w:rsidR="00431963">
              <w:rPr>
                <w:rFonts w:ascii="Calibri" w:hAnsi="Calibri" w:cs="Calibri"/>
                <w:color w:val="auto"/>
                <w:sz w:val="18"/>
                <w:szCs w:val="22"/>
                <w:lang w:val="sv-SE"/>
              </w:rPr>
              <w:t xml:space="preserve"> </w:t>
            </w:r>
            <w:r w:rsidRPr="001F265E" w:rsidR="00431963">
              <w:rPr>
                <w:rFonts w:ascii="Calibri" w:hAnsi="Calibri" w:cs="Calibri"/>
                <w:b/>
                <w:color w:val="auto"/>
                <w:sz w:val="18"/>
                <w:szCs w:val="22"/>
                <w:lang w:val="sv-SE"/>
              </w:rPr>
              <w:lastRenderedPageBreak/>
              <w:t>iC17</w:t>
            </w:r>
            <w:r w:rsidR="00431963">
              <w:rPr>
                <w:rFonts w:ascii="Calibri" w:hAnsi="Calibri" w:cs="Calibri"/>
                <w:color w:val="auto"/>
                <w:sz w:val="18"/>
                <w:szCs w:val="22"/>
                <w:lang w:val="sv-SE"/>
              </w:rPr>
              <w:t xml:space="preserve">, relativi </w:t>
            </w:r>
            <w:r w:rsidR="00EC2A4B">
              <w:rPr>
                <w:rFonts w:ascii="Calibri" w:hAnsi="Calibri" w:cs="Calibri"/>
                <w:color w:val="auto"/>
                <w:sz w:val="18"/>
                <w:szCs w:val="22"/>
                <w:lang w:val="sv-SE"/>
              </w:rPr>
              <w:t>sempre</w:t>
            </w:r>
            <w:r w:rsidR="00431963">
              <w:rPr>
                <w:rFonts w:ascii="Calibri" w:hAnsi="Calibri" w:cs="Calibri"/>
                <w:color w:val="auto"/>
                <w:sz w:val="18"/>
                <w:szCs w:val="22"/>
                <w:lang w:val="sv-SE"/>
              </w:rPr>
              <w:t xml:space="preserve"> al 201</w:t>
            </w:r>
            <w:r w:rsidR="00EC2A4B">
              <w:rPr>
                <w:rFonts w:ascii="Calibri" w:hAnsi="Calibri" w:cs="Calibri"/>
                <w:color w:val="auto"/>
                <w:sz w:val="18"/>
                <w:szCs w:val="22"/>
                <w:lang w:val="sv-SE"/>
              </w:rPr>
              <w:t>8</w:t>
            </w:r>
            <w:r w:rsidR="00431963">
              <w:rPr>
                <w:rFonts w:ascii="Calibri" w:hAnsi="Calibri" w:cs="Calibri"/>
                <w:color w:val="auto"/>
                <w:sz w:val="18"/>
                <w:szCs w:val="22"/>
                <w:lang w:val="sv-SE"/>
              </w:rPr>
              <w:t>,</w:t>
            </w:r>
            <w:r w:rsidRPr="00702E89" w:rsidR="00431963">
              <w:rPr>
                <w:rFonts w:ascii="Calibri" w:hAnsi="Calibri" w:cs="Calibri"/>
                <w:color w:val="auto"/>
                <w:sz w:val="18"/>
                <w:szCs w:val="22"/>
                <w:lang w:val="sv-SE"/>
              </w:rPr>
              <w:t xml:space="preserve"> ci fanno vedere c</w:t>
            </w:r>
            <w:r w:rsidR="00EC2A4B">
              <w:rPr>
                <w:rFonts w:ascii="Calibri" w:hAnsi="Calibri" w:cs="Calibri"/>
                <w:color w:val="auto"/>
                <w:sz w:val="18"/>
                <w:szCs w:val="22"/>
                <w:lang w:val="sv-SE"/>
              </w:rPr>
              <w:t>h</w:t>
            </w:r>
            <w:r w:rsidRPr="00702E89" w:rsidR="00431963">
              <w:rPr>
                <w:rFonts w:ascii="Calibri" w:hAnsi="Calibri" w:cs="Calibri"/>
                <w:color w:val="auto"/>
                <w:sz w:val="18"/>
                <w:szCs w:val="22"/>
                <w:lang w:val="sv-SE"/>
              </w:rPr>
              <w:t xml:space="preserve">e </w:t>
            </w:r>
            <w:r w:rsidR="00EC2A4B">
              <w:rPr>
                <w:rFonts w:ascii="Calibri" w:hAnsi="Calibri" w:cs="Calibri"/>
                <w:color w:val="auto"/>
                <w:sz w:val="18"/>
                <w:szCs w:val="22"/>
                <w:lang w:val="sv-SE"/>
              </w:rPr>
              <w:t>il 25,0% de</w:t>
            </w:r>
            <w:r w:rsidRPr="00702E89" w:rsidR="00431963">
              <w:rPr>
                <w:rFonts w:ascii="Calibri" w:hAnsi="Calibri" w:cs="Calibri"/>
                <w:color w:val="auto"/>
                <w:sz w:val="18"/>
                <w:szCs w:val="22"/>
                <w:lang w:val="sv-SE"/>
              </w:rPr>
              <w:t>gli studenti</w:t>
            </w:r>
            <w:r w:rsidR="00EC2A4B">
              <w:rPr>
                <w:rFonts w:ascii="Calibri" w:hAnsi="Calibri" w:cs="Calibri"/>
                <w:color w:val="auto"/>
                <w:sz w:val="18"/>
                <w:szCs w:val="22"/>
                <w:lang w:val="sv-SE"/>
              </w:rPr>
              <w:t xml:space="preserve"> </w:t>
            </w:r>
            <w:r w:rsidRPr="00702E89" w:rsidR="00431963">
              <w:rPr>
                <w:rFonts w:ascii="Calibri" w:hAnsi="Calibri" w:cs="Calibri"/>
                <w:color w:val="auto"/>
                <w:sz w:val="18"/>
                <w:szCs w:val="22"/>
                <w:lang w:val="sv-SE"/>
              </w:rPr>
              <w:t xml:space="preserve">si </w:t>
            </w:r>
            <w:r w:rsidR="00EC2A4B">
              <w:rPr>
                <w:rFonts w:ascii="Calibri" w:hAnsi="Calibri" w:cs="Calibri"/>
                <w:color w:val="auto"/>
                <w:sz w:val="18"/>
                <w:szCs w:val="22"/>
                <w:lang w:val="sv-SE"/>
              </w:rPr>
              <w:t xml:space="preserve">è </w:t>
            </w:r>
            <w:r w:rsidRPr="00702E89" w:rsidR="00431963">
              <w:rPr>
                <w:rFonts w:ascii="Calibri" w:hAnsi="Calibri" w:cs="Calibri"/>
                <w:color w:val="auto"/>
                <w:sz w:val="18"/>
                <w:szCs w:val="22"/>
                <w:lang w:val="sv-SE"/>
              </w:rPr>
              <w:t>laure</w:t>
            </w:r>
            <w:r w:rsidR="00EC2A4B">
              <w:rPr>
                <w:rFonts w:ascii="Calibri" w:hAnsi="Calibri" w:cs="Calibri"/>
                <w:color w:val="auto"/>
                <w:sz w:val="18"/>
                <w:szCs w:val="22"/>
                <w:lang w:val="sv-SE"/>
              </w:rPr>
              <w:t>ato</w:t>
            </w:r>
            <w:r w:rsidRPr="00702E89" w:rsidR="00431963">
              <w:rPr>
                <w:rFonts w:ascii="Calibri" w:hAnsi="Calibri" w:cs="Calibri"/>
                <w:color w:val="auto"/>
                <w:sz w:val="18"/>
                <w:szCs w:val="22"/>
                <w:lang w:val="sv-SE"/>
              </w:rPr>
              <w:t xml:space="preserve"> entro un anno dalla durata normale del CdS</w:t>
            </w:r>
            <w:r w:rsidR="00EC2A4B">
              <w:rPr>
                <w:rFonts w:ascii="Calibri" w:hAnsi="Calibri" w:cs="Calibri"/>
                <w:color w:val="auto"/>
                <w:sz w:val="18"/>
                <w:szCs w:val="22"/>
                <w:lang w:val="sv-SE"/>
              </w:rPr>
              <w:t>, con un incremento del 5% circa rispetto al 2017 (20,8%)</w:t>
            </w:r>
            <w:r w:rsidRPr="00702E89" w:rsidR="00431963">
              <w:rPr>
                <w:rFonts w:ascii="Calibri" w:hAnsi="Calibri" w:cs="Calibri"/>
                <w:color w:val="auto"/>
                <w:sz w:val="18"/>
                <w:szCs w:val="22"/>
                <w:lang w:val="sv-SE"/>
              </w:rPr>
              <w:t xml:space="preserve">. Anche in questo caso, il dato </w:t>
            </w:r>
            <w:r w:rsidR="00EC2A4B">
              <w:rPr>
                <w:rFonts w:ascii="Calibri" w:hAnsi="Calibri" w:cs="Calibri"/>
                <w:color w:val="auto"/>
                <w:sz w:val="18"/>
                <w:szCs w:val="22"/>
                <w:lang w:val="sv-SE"/>
              </w:rPr>
              <w:t xml:space="preserve">rivela un progressivo superamento del divario con </w:t>
            </w:r>
            <w:r w:rsidRPr="00702E89" w:rsidR="00431963">
              <w:rPr>
                <w:rFonts w:ascii="Calibri" w:hAnsi="Calibri" w:cs="Calibri"/>
                <w:color w:val="auto"/>
                <w:sz w:val="18"/>
                <w:szCs w:val="22"/>
                <w:lang w:val="sv-SE"/>
              </w:rPr>
              <w:t xml:space="preserve">la media dell’area geografica di riferimento </w:t>
            </w:r>
            <w:r w:rsidR="00431963">
              <w:rPr>
                <w:rFonts w:ascii="Calibri" w:hAnsi="Calibri" w:cs="Calibri"/>
                <w:color w:val="auto"/>
                <w:sz w:val="18"/>
                <w:szCs w:val="22"/>
                <w:lang w:val="sv-SE"/>
              </w:rPr>
              <w:t>(31,</w:t>
            </w:r>
            <w:r w:rsidR="00EC2A4B">
              <w:rPr>
                <w:rFonts w:ascii="Calibri" w:hAnsi="Calibri" w:cs="Calibri"/>
                <w:color w:val="auto"/>
                <w:sz w:val="18"/>
                <w:szCs w:val="22"/>
                <w:lang w:val="sv-SE"/>
              </w:rPr>
              <w:t>8</w:t>
            </w:r>
            <w:r w:rsidR="00431963">
              <w:rPr>
                <w:rFonts w:ascii="Calibri" w:hAnsi="Calibri" w:cs="Calibri"/>
                <w:color w:val="auto"/>
                <w:sz w:val="18"/>
                <w:szCs w:val="22"/>
                <w:lang w:val="sv-SE"/>
              </w:rPr>
              <w:t xml:space="preserve">%) </w:t>
            </w:r>
            <w:r w:rsidRPr="00702E89" w:rsidR="00431963">
              <w:rPr>
                <w:rFonts w:ascii="Calibri" w:hAnsi="Calibri" w:cs="Calibri"/>
                <w:color w:val="auto"/>
                <w:sz w:val="18"/>
                <w:szCs w:val="22"/>
                <w:lang w:val="sv-SE"/>
              </w:rPr>
              <w:t>ed a quella nazionale</w:t>
            </w:r>
            <w:r w:rsidR="00431963">
              <w:rPr>
                <w:rFonts w:ascii="Calibri" w:hAnsi="Calibri" w:cs="Calibri"/>
                <w:color w:val="auto"/>
                <w:sz w:val="18"/>
                <w:szCs w:val="22"/>
                <w:lang w:val="sv-SE"/>
              </w:rPr>
              <w:t xml:space="preserve"> (</w:t>
            </w:r>
            <w:r w:rsidR="00EC2A4B">
              <w:rPr>
                <w:rFonts w:ascii="Calibri" w:hAnsi="Calibri" w:cs="Calibri"/>
                <w:color w:val="auto"/>
                <w:sz w:val="18"/>
                <w:szCs w:val="22"/>
                <w:lang w:val="sv-SE"/>
              </w:rPr>
              <w:t>31</w:t>
            </w:r>
            <w:r w:rsidR="00431963">
              <w:rPr>
                <w:rFonts w:ascii="Calibri" w:hAnsi="Calibri" w:cs="Calibri"/>
                <w:color w:val="auto"/>
                <w:sz w:val="18"/>
                <w:szCs w:val="22"/>
                <w:lang w:val="sv-SE"/>
              </w:rPr>
              <w:t>,</w:t>
            </w:r>
            <w:r w:rsidR="00EC2A4B">
              <w:rPr>
                <w:rFonts w:ascii="Calibri" w:hAnsi="Calibri" w:cs="Calibri"/>
                <w:color w:val="auto"/>
                <w:sz w:val="18"/>
                <w:szCs w:val="22"/>
                <w:lang w:val="sv-SE"/>
              </w:rPr>
              <w:t>0</w:t>
            </w:r>
            <w:r w:rsidR="00431963">
              <w:rPr>
                <w:rFonts w:ascii="Calibri" w:hAnsi="Calibri" w:cs="Calibri"/>
                <w:color w:val="auto"/>
                <w:sz w:val="18"/>
                <w:szCs w:val="22"/>
                <w:lang w:val="sv-SE"/>
              </w:rPr>
              <w:t>%)</w:t>
            </w:r>
            <w:r w:rsidRPr="00702E89" w:rsidR="00431963">
              <w:rPr>
                <w:rFonts w:ascii="Calibri" w:hAnsi="Calibri" w:cs="Calibri"/>
                <w:color w:val="auto"/>
                <w:sz w:val="18"/>
                <w:szCs w:val="22"/>
                <w:lang w:val="sv-SE"/>
              </w:rPr>
              <w:t>.</w:t>
            </w:r>
            <w:r w:rsidR="00167F2C">
              <w:rPr>
                <w:rFonts w:ascii="Calibri" w:hAnsi="Calibri" w:cs="Calibri"/>
                <w:color w:val="auto"/>
                <w:sz w:val="18"/>
                <w:szCs w:val="22"/>
                <w:lang w:val="sv-SE"/>
              </w:rPr>
              <w:t xml:space="preserve"> </w:t>
            </w:r>
            <w:r w:rsidR="00DF446D">
              <w:rPr>
                <w:rFonts w:ascii="Calibri" w:hAnsi="Calibri" w:cs="Calibri"/>
                <w:color w:val="auto"/>
                <w:sz w:val="18"/>
                <w:szCs w:val="22"/>
                <w:lang w:val="sv-SE"/>
              </w:rPr>
              <w:t>Secondo l’i</w:t>
            </w:r>
            <w:r w:rsidRPr="00DF446D" w:rsidR="00DF446D">
              <w:rPr>
                <w:rFonts w:ascii="Calibri" w:hAnsi="Calibri" w:cs="Calibri"/>
                <w:b/>
                <w:bCs/>
                <w:color w:val="auto"/>
                <w:sz w:val="18"/>
                <w:szCs w:val="22"/>
                <w:lang w:val="sv-SE"/>
              </w:rPr>
              <w:t>ndicatore iC00h</w:t>
            </w:r>
            <w:r w:rsidR="00DF446D">
              <w:rPr>
                <w:rFonts w:ascii="Calibri" w:hAnsi="Calibri" w:cs="Calibri"/>
                <w:color w:val="auto"/>
                <w:sz w:val="18"/>
                <w:szCs w:val="22"/>
                <w:lang w:val="sv-SE"/>
              </w:rPr>
              <w:t xml:space="preserve">, </w:t>
            </w:r>
            <w:r w:rsidR="00167F2C">
              <w:rPr>
                <w:rFonts w:ascii="Calibri" w:hAnsi="Calibri" w:cs="Calibri"/>
                <w:color w:val="auto"/>
                <w:sz w:val="18"/>
                <w:szCs w:val="22"/>
                <w:lang w:val="sv-SE"/>
              </w:rPr>
              <w:t>l numero complessivo dei laureati del 2019 (296) è tuttavia notevolmente superiore a quello dell’area geografica di riferimento (186,9) e nazionale (187,7)</w:t>
            </w:r>
          </w:p>
          <w:p w:rsidR="00431963" w:rsidP="00431963" w:rsidRDefault="00431963" w14:paraId="66A3C1C3" w14:textId="3F15E3D8">
            <w:pPr>
              <w:pStyle w:val="Default"/>
              <w:mirrorIndents/>
              <w:jc w:val="both"/>
              <w:rPr>
                <w:rFonts w:ascii="Calibri" w:hAnsi="Calibri" w:cs="Calibri"/>
                <w:color w:val="auto"/>
                <w:sz w:val="18"/>
                <w:szCs w:val="22"/>
                <w:lang w:val="sv-SE"/>
              </w:rPr>
            </w:pPr>
            <w:r>
              <w:rPr>
                <w:rFonts w:ascii="Calibri" w:hAnsi="Calibri" w:cs="Calibri"/>
                <w:color w:val="auto"/>
                <w:sz w:val="18"/>
                <w:szCs w:val="22"/>
                <w:lang w:val="sv-SE"/>
              </w:rPr>
              <w:t>I</w:t>
            </w:r>
            <w:r w:rsidRPr="00702E89">
              <w:rPr>
                <w:rFonts w:ascii="Calibri" w:hAnsi="Calibri" w:cs="Calibri"/>
                <w:color w:val="auto"/>
                <w:sz w:val="18"/>
                <w:szCs w:val="22"/>
                <w:lang w:val="sv-SE"/>
              </w:rPr>
              <w:t>l CdS</w:t>
            </w:r>
            <w:r w:rsidR="007B75D8">
              <w:rPr>
                <w:rFonts w:ascii="Calibri" w:hAnsi="Calibri" w:cs="Calibri"/>
                <w:color w:val="auto"/>
                <w:sz w:val="18"/>
                <w:szCs w:val="22"/>
                <w:lang w:val="sv-SE"/>
              </w:rPr>
              <w:t xml:space="preserve"> è</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da tempo consapevole d</w:t>
            </w:r>
            <w:r w:rsidR="00874D63">
              <w:rPr>
                <w:rFonts w:ascii="Calibri" w:hAnsi="Calibri" w:cs="Calibri"/>
                <w:color w:val="auto"/>
                <w:sz w:val="18"/>
                <w:szCs w:val="22"/>
                <w:lang w:val="sv-SE"/>
              </w:rPr>
              <w:t>el</w:t>
            </w:r>
            <w:r>
              <w:rPr>
                <w:rFonts w:ascii="Calibri" w:hAnsi="Calibri" w:cs="Calibri"/>
                <w:color w:val="auto"/>
                <w:sz w:val="18"/>
                <w:szCs w:val="22"/>
                <w:lang w:val="sv-SE"/>
              </w:rPr>
              <w:t xml:space="preserve">le criticità </w:t>
            </w:r>
            <w:r w:rsidR="00874D63">
              <w:rPr>
                <w:rFonts w:ascii="Calibri" w:hAnsi="Calibri" w:cs="Calibri"/>
                <w:color w:val="auto"/>
                <w:sz w:val="18"/>
                <w:szCs w:val="22"/>
                <w:lang w:val="sv-SE"/>
              </w:rPr>
              <w:t xml:space="preserve">ora rilevate </w:t>
            </w:r>
            <w:r>
              <w:rPr>
                <w:rFonts w:ascii="Calibri" w:hAnsi="Calibri" w:cs="Calibri"/>
                <w:color w:val="auto"/>
                <w:sz w:val="18"/>
                <w:szCs w:val="22"/>
                <w:lang w:val="sv-SE"/>
              </w:rPr>
              <w:t xml:space="preserve">e si propone pertanto di rafforzare ulteriormente </w:t>
            </w:r>
            <w:r w:rsidRPr="00702E89">
              <w:rPr>
                <w:rFonts w:ascii="Calibri" w:hAnsi="Calibri" w:cs="Calibri"/>
                <w:color w:val="auto"/>
                <w:sz w:val="18"/>
                <w:szCs w:val="22"/>
                <w:lang w:val="sv-SE"/>
              </w:rPr>
              <w:t xml:space="preserve">le azioni correttive </w:t>
            </w:r>
            <w:r>
              <w:rPr>
                <w:rFonts w:ascii="Calibri" w:hAnsi="Calibri" w:cs="Calibri"/>
                <w:color w:val="auto"/>
                <w:sz w:val="18"/>
                <w:szCs w:val="22"/>
                <w:lang w:val="sv-SE"/>
              </w:rPr>
              <w:t xml:space="preserve">intraprese. Oltre a quelle, </w:t>
            </w:r>
            <w:r w:rsidRPr="00702E89">
              <w:rPr>
                <w:rFonts w:ascii="Calibri" w:hAnsi="Calibri" w:cs="Calibri"/>
                <w:color w:val="auto"/>
                <w:sz w:val="18"/>
                <w:szCs w:val="22"/>
                <w:lang w:val="sv-SE"/>
              </w:rPr>
              <w:t>già richiamate in sede di commento agli indicatori su</w:t>
            </w:r>
            <w:r>
              <w:rPr>
                <w:rFonts w:ascii="Calibri" w:hAnsi="Calibri" w:cs="Calibri"/>
                <w:color w:val="auto"/>
                <w:sz w:val="18"/>
                <w:szCs w:val="22"/>
                <w:lang w:val="sv-SE"/>
              </w:rPr>
              <w:t xml:space="preserve">ll’Attrattività </w:t>
            </w:r>
            <w:r w:rsidRPr="00702E89">
              <w:rPr>
                <w:rFonts w:ascii="Calibri" w:hAnsi="Calibri" w:cs="Calibri"/>
                <w:color w:val="auto"/>
                <w:sz w:val="18"/>
                <w:szCs w:val="22"/>
                <w:lang w:val="sv-SE"/>
              </w:rPr>
              <w:t xml:space="preserve">e </w:t>
            </w:r>
            <w:r w:rsidRPr="001F265E">
              <w:rPr>
                <w:rFonts w:ascii="Calibri" w:hAnsi="Calibri" w:cs="Calibri"/>
                <w:color w:val="auto"/>
                <w:sz w:val="18"/>
                <w:szCs w:val="22"/>
                <w:lang w:val="sv-SE"/>
              </w:rPr>
              <w:t>sulla Regolarità degli studi e Produttività degli iscritti</w:t>
            </w:r>
            <w:r>
              <w:rPr>
                <w:rFonts w:ascii="Calibri" w:hAnsi="Calibri" w:cs="Calibri"/>
                <w:color w:val="auto"/>
                <w:sz w:val="18"/>
                <w:szCs w:val="22"/>
                <w:lang w:val="sv-SE"/>
              </w:rPr>
              <w:t>, il CdS, come azione correttiva più specifica, ha deliberato di aderire alla sperimentazione dell’accesso dei fuori corso c.d. in itinere agli appelli riservati di novembre ed aprile, al fine di favorire un recupero della regolarità del percorso di studio.</w:t>
            </w:r>
            <w:r w:rsidR="007B75D8">
              <w:rPr>
                <w:rFonts w:ascii="Calibri" w:hAnsi="Calibri" w:cs="Calibri"/>
                <w:color w:val="auto"/>
                <w:sz w:val="18"/>
                <w:szCs w:val="22"/>
                <w:lang w:val="sv-SE"/>
              </w:rPr>
              <w:t xml:space="preserve"> L’inversione di tendenza dei dati del 2018 dei </w:t>
            </w:r>
            <w:r w:rsidR="00874D63">
              <w:rPr>
                <w:rFonts w:ascii="Calibri" w:hAnsi="Calibri" w:cs="Calibri"/>
                <w:color w:val="auto"/>
                <w:sz w:val="18"/>
                <w:szCs w:val="22"/>
                <w:lang w:val="sv-SE"/>
              </w:rPr>
              <w:t xml:space="preserve">primi </w:t>
            </w:r>
            <w:r w:rsidR="007B75D8">
              <w:rPr>
                <w:rFonts w:ascii="Calibri" w:hAnsi="Calibri" w:cs="Calibri"/>
                <w:color w:val="auto"/>
                <w:sz w:val="18"/>
                <w:szCs w:val="22"/>
                <w:lang w:val="sv-SE"/>
              </w:rPr>
              <w:t xml:space="preserve">tre indicatori rispetto ai dati del 2017 </w:t>
            </w:r>
            <w:r w:rsidR="00874D63">
              <w:rPr>
                <w:rFonts w:ascii="Calibri" w:hAnsi="Calibri" w:cs="Calibri"/>
                <w:color w:val="auto"/>
                <w:sz w:val="18"/>
                <w:szCs w:val="22"/>
                <w:lang w:val="sv-SE"/>
              </w:rPr>
              <w:t xml:space="preserve">ed il dato del numero complessivo dei laureati </w:t>
            </w:r>
            <w:r w:rsidR="007B75D8">
              <w:rPr>
                <w:rFonts w:ascii="Calibri" w:hAnsi="Calibri" w:cs="Calibri"/>
                <w:color w:val="auto"/>
                <w:sz w:val="18"/>
                <w:szCs w:val="22"/>
                <w:lang w:val="sv-SE"/>
              </w:rPr>
              <w:t>rappresenta</w:t>
            </w:r>
            <w:r w:rsidR="00874D63">
              <w:rPr>
                <w:rFonts w:ascii="Calibri" w:hAnsi="Calibri" w:cs="Calibri"/>
                <w:color w:val="auto"/>
                <w:sz w:val="18"/>
                <w:szCs w:val="22"/>
                <w:lang w:val="sv-SE"/>
              </w:rPr>
              <w:t>no</w:t>
            </w:r>
            <w:r w:rsidR="007B75D8">
              <w:rPr>
                <w:rFonts w:ascii="Calibri" w:hAnsi="Calibri" w:cs="Calibri"/>
                <w:color w:val="auto"/>
                <w:sz w:val="18"/>
                <w:szCs w:val="22"/>
                <w:lang w:val="sv-SE"/>
              </w:rPr>
              <w:t xml:space="preserve"> un primo risultato positivo delle suddette azioni correttive.</w:t>
            </w:r>
          </w:p>
          <w:p w:rsidRPr="00702E89" w:rsidR="00431963" w:rsidP="00431963" w:rsidRDefault="00431963" w14:paraId="334D4782" w14:textId="50B61A88">
            <w:pPr>
              <w:pStyle w:val="Default"/>
              <w:mirrorIndents/>
              <w:jc w:val="both"/>
              <w:rPr>
                <w:rFonts w:ascii="Calibri" w:hAnsi="Calibri" w:cs="Calibri"/>
                <w:color w:val="auto"/>
                <w:sz w:val="18"/>
                <w:szCs w:val="22"/>
                <w:lang w:val="sv-SE"/>
              </w:rPr>
            </w:pPr>
            <w:r w:rsidRPr="00702E89">
              <w:rPr>
                <w:rFonts w:ascii="Calibri" w:hAnsi="Calibri" w:cs="Calibri"/>
                <w:color w:val="auto"/>
                <w:sz w:val="18"/>
                <w:szCs w:val="22"/>
                <w:lang w:val="sv-SE"/>
              </w:rPr>
              <w:t>Me</w:t>
            </w:r>
            <w:r>
              <w:rPr>
                <w:rFonts w:ascii="Calibri" w:hAnsi="Calibri" w:cs="Calibri"/>
                <w:color w:val="auto"/>
                <w:sz w:val="18"/>
                <w:szCs w:val="22"/>
                <w:lang w:val="sv-SE"/>
              </w:rPr>
              <w:t xml:space="preserve">ritevole di una </w:t>
            </w:r>
            <w:r w:rsidR="00795983">
              <w:rPr>
                <w:rFonts w:ascii="Calibri" w:hAnsi="Calibri" w:cs="Calibri"/>
                <w:color w:val="auto"/>
                <w:sz w:val="18"/>
                <w:szCs w:val="22"/>
                <w:lang w:val="sv-SE"/>
              </w:rPr>
              <w:t>valutaz</w:t>
            </w:r>
            <w:r>
              <w:rPr>
                <w:rFonts w:ascii="Calibri" w:hAnsi="Calibri" w:cs="Calibri"/>
                <w:color w:val="auto"/>
                <w:sz w:val="18"/>
                <w:szCs w:val="22"/>
                <w:lang w:val="sv-SE"/>
              </w:rPr>
              <w:t xml:space="preserve">ione </w:t>
            </w:r>
            <w:r w:rsidR="00795983">
              <w:rPr>
                <w:rFonts w:ascii="Calibri" w:hAnsi="Calibri" w:cs="Calibri"/>
                <w:color w:val="auto"/>
                <w:sz w:val="18"/>
                <w:szCs w:val="22"/>
                <w:lang w:val="sv-SE"/>
              </w:rPr>
              <w:t xml:space="preserve">positiva </w:t>
            </w:r>
            <w:r>
              <w:rPr>
                <w:rFonts w:ascii="Calibri" w:hAnsi="Calibri" w:cs="Calibri"/>
                <w:color w:val="auto"/>
                <w:sz w:val="18"/>
                <w:szCs w:val="22"/>
                <w:lang w:val="sv-SE"/>
              </w:rPr>
              <w:t xml:space="preserve">è anche </w:t>
            </w:r>
            <w:r w:rsidRPr="00702E89">
              <w:rPr>
                <w:rFonts w:ascii="Calibri" w:hAnsi="Calibri" w:cs="Calibri"/>
                <w:color w:val="auto"/>
                <w:sz w:val="18"/>
                <w:szCs w:val="22"/>
                <w:lang w:val="sv-SE"/>
              </w:rPr>
              <w:t>il dato emergente dall’</w:t>
            </w:r>
            <w:r w:rsidRPr="001F265E">
              <w:rPr>
                <w:rFonts w:ascii="Calibri" w:hAnsi="Calibri" w:cs="Calibri"/>
                <w:b/>
                <w:color w:val="auto"/>
                <w:sz w:val="18"/>
                <w:szCs w:val="22"/>
                <w:lang w:val="sv-SE"/>
              </w:rPr>
              <w:t>indicatore</w:t>
            </w:r>
            <w:r w:rsidRPr="00702E89">
              <w:rPr>
                <w:rFonts w:ascii="Calibri" w:hAnsi="Calibri" w:cs="Calibri"/>
                <w:color w:val="auto"/>
                <w:sz w:val="18"/>
                <w:szCs w:val="22"/>
                <w:lang w:val="sv-SE"/>
              </w:rPr>
              <w:t xml:space="preserve"> </w:t>
            </w:r>
            <w:r w:rsidRPr="001F265E">
              <w:rPr>
                <w:rFonts w:ascii="Calibri" w:hAnsi="Calibri" w:cs="Calibri"/>
                <w:b/>
                <w:color w:val="auto"/>
                <w:sz w:val="18"/>
                <w:szCs w:val="22"/>
                <w:lang w:val="sv-SE"/>
              </w:rPr>
              <w:t>iC11</w:t>
            </w:r>
            <w:r w:rsidRPr="00702E89">
              <w:rPr>
                <w:rFonts w:ascii="Calibri" w:hAnsi="Calibri" w:cs="Calibri"/>
                <w:color w:val="auto"/>
                <w:sz w:val="18"/>
                <w:szCs w:val="22"/>
                <w:lang w:val="sv-SE"/>
              </w:rPr>
              <w:t xml:space="preserve"> sulla percentuale di laureati regolari che hanno acqu</w:t>
            </w:r>
            <w:r>
              <w:rPr>
                <w:rFonts w:ascii="Calibri" w:hAnsi="Calibri" w:cs="Calibri"/>
                <w:color w:val="auto"/>
                <w:sz w:val="18"/>
                <w:szCs w:val="22"/>
                <w:lang w:val="sv-SE"/>
              </w:rPr>
              <w:t xml:space="preserve">isito almeno 12cfu all’estero: </w:t>
            </w:r>
            <w:r w:rsidR="00795983">
              <w:rPr>
                <w:rFonts w:ascii="Calibri" w:hAnsi="Calibri" w:cs="Calibri"/>
                <w:color w:val="auto"/>
                <w:sz w:val="18"/>
                <w:szCs w:val="22"/>
                <w:lang w:val="sv-SE"/>
              </w:rPr>
              <w:t xml:space="preserve">esso si presenta più che raddoppiato </w:t>
            </w:r>
            <w:r>
              <w:rPr>
                <w:rFonts w:ascii="Calibri" w:hAnsi="Calibri" w:cs="Calibri"/>
                <w:color w:val="auto"/>
                <w:sz w:val="18"/>
                <w:szCs w:val="22"/>
                <w:lang w:val="sv-SE"/>
              </w:rPr>
              <w:t>nel 201</w:t>
            </w:r>
            <w:r w:rsidR="00795983">
              <w:rPr>
                <w:rFonts w:ascii="Calibri" w:hAnsi="Calibri" w:cs="Calibri"/>
                <w:color w:val="auto"/>
                <w:sz w:val="18"/>
                <w:szCs w:val="22"/>
                <w:lang w:val="sv-SE"/>
              </w:rPr>
              <w:t>9 (161,8%</w:t>
            </w:r>
            <w:r w:rsidR="00795983">
              <w:rPr>
                <w:rFonts w:ascii="Calibri" w:hAnsi="Calibri" w:cs="Calibri"/>
                <w:color w:val="auto"/>
                <w:sz w:val="18"/>
                <w:szCs w:val="22"/>
                <w:vertAlign w:val="subscript"/>
                <w:lang w:val="sv-SE"/>
              </w:rPr>
              <w:t>0</w:t>
            </w:r>
            <w:r w:rsidR="00795983">
              <w:rPr>
                <w:rFonts w:ascii="Calibri" w:hAnsi="Calibri" w:cs="Calibri"/>
                <w:color w:val="auto"/>
                <w:sz w:val="18"/>
                <w:szCs w:val="22"/>
                <w:lang w:val="sv-SE"/>
              </w:rPr>
              <w:t>)</w:t>
            </w:r>
            <w:r>
              <w:rPr>
                <w:rFonts w:ascii="Calibri" w:hAnsi="Calibri" w:cs="Calibri"/>
                <w:color w:val="auto"/>
                <w:sz w:val="18"/>
                <w:szCs w:val="22"/>
                <w:lang w:val="sv-SE"/>
              </w:rPr>
              <w:t xml:space="preserve"> rispetto al 201</w:t>
            </w:r>
            <w:r w:rsidR="00795983">
              <w:rPr>
                <w:rFonts w:ascii="Calibri" w:hAnsi="Calibri" w:cs="Calibri"/>
                <w:color w:val="auto"/>
                <w:sz w:val="18"/>
                <w:szCs w:val="22"/>
                <w:lang w:val="sv-SE"/>
              </w:rPr>
              <w:t>8</w:t>
            </w:r>
            <w:r>
              <w:rPr>
                <w:rFonts w:ascii="Calibri" w:hAnsi="Calibri" w:cs="Calibri"/>
                <w:color w:val="auto"/>
                <w:sz w:val="18"/>
                <w:szCs w:val="22"/>
                <w:lang w:val="sv-SE"/>
              </w:rPr>
              <w:t xml:space="preserve"> (70,2%</w:t>
            </w:r>
            <w:r w:rsidR="00795983">
              <w:rPr>
                <w:rFonts w:ascii="Calibri" w:hAnsi="Calibri" w:cs="Calibri"/>
                <w:color w:val="auto"/>
                <w:sz w:val="18"/>
                <w:szCs w:val="22"/>
                <w:vertAlign w:val="subscript"/>
                <w:lang w:val="sv-SE"/>
              </w:rPr>
              <w:t>0</w:t>
            </w:r>
            <w:r w:rsidR="00795983">
              <w:rPr>
                <w:rFonts w:ascii="Calibri" w:hAnsi="Calibri" w:cs="Calibri"/>
                <w:color w:val="auto"/>
                <w:sz w:val="18"/>
                <w:szCs w:val="22"/>
                <w:lang w:val="sv-SE"/>
              </w:rPr>
              <w:t>),</w:t>
            </w:r>
            <w:r>
              <w:rPr>
                <w:rFonts w:ascii="Calibri" w:hAnsi="Calibri" w:cs="Calibri"/>
                <w:color w:val="auto"/>
                <w:sz w:val="18"/>
                <w:szCs w:val="22"/>
                <w:lang w:val="sv-SE"/>
              </w:rPr>
              <w:t xml:space="preserve"> </w:t>
            </w:r>
            <w:r w:rsidR="00795983">
              <w:rPr>
                <w:rFonts w:ascii="Calibri" w:hAnsi="Calibri" w:cs="Calibri"/>
                <w:color w:val="auto"/>
                <w:sz w:val="18"/>
                <w:szCs w:val="22"/>
                <w:lang w:val="sv-SE"/>
              </w:rPr>
              <w:t>colmando progressivamente il divario</w:t>
            </w:r>
            <w:r>
              <w:rPr>
                <w:rFonts w:ascii="Calibri" w:hAnsi="Calibri" w:cs="Calibri"/>
                <w:color w:val="auto"/>
                <w:sz w:val="18"/>
                <w:szCs w:val="22"/>
                <w:lang w:val="sv-SE"/>
              </w:rPr>
              <w:t xml:space="preserve"> </w:t>
            </w:r>
            <w:r w:rsidR="00795983">
              <w:rPr>
                <w:rFonts w:ascii="Calibri" w:hAnsi="Calibri" w:cs="Calibri"/>
                <w:color w:val="auto"/>
                <w:sz w:val="18"/>
                <w:szCs w:val="22"/>
                <w:lang w:val="sv-SE"/>
              </w:rPr>
              <w:t xml:space="preserve">con </w:t>
            </w:r>
            <w:r w:rsidRPr="00702E89">
              <w:rPr>
                <w:rFonts w:ascii="Calibri" w:hAnsi="Calibri" w:cs="Calibri"/>
                <w:color w:val="auto"/>
                <w:sz w:val="18"/>
                <w:szCs w:val="22"/>
                <w:lang w:val="sv-SE"/>
              </w:rPr>
              <w:t xml:space="preserve">la media dell’area geografica di riferimento </w:t>
            </w:r>
            <w:r>
              <w:rPr>
                <w:rFonts w:ascii="Calibri" w:hAnsi="Calibri" w:cs="Calibri"/>
                <w:color w:val="auto"/>
                <w:sz w:val="18"/>
                <w:szCs w:val="22"/>
                <w:lang w:val="sv-SE"/>
              </w:rPr>
              <w:t>(1</w:t>
            </w:r>
            <w:r w:rsidR="00795983">
              <w:rPr>
                <w:rFonts w:ascii="Calibri" w:hAnsi="Calibri" w:cs="Calibri"/>
                <w:color w:val="auto"/>
                <w:sz w:val="18"/>
                <w:szCs w:val="22"/>
                <w:lang w:val="sv-SE"/>
              </w:rPr>
              <w:t>98</w:t>
            </w:r>
            <w:r>
              <w:rPr>
                <w:rFonts w:ascii="Calibri" w:hAnsi="Calibri" w:cs="Calibri"/>
                <w:color w:val="auto"/>
                <w:sz w:val="18"/>
                <w:szCs w:val="22"/>
                <w:lang w:val="sv-SE"/>
              </w:rPr>
              <w:t>,</w:t>
            </w:r>
            <w:r w:rsidR="00795983">
              <w:rPr>
                <w:rFonts w:ascii="Calibri" w:hAnsi="Calibri" w:cs="Calibri"/>
                <w:color w:val="auto"/>
                <w:sz w:val="18"/>
                <w:szCs w:val="22"/>
                <w:lang w:val="sv-SE"/>
              </w:rPr>
              <w:t>8</w:t>
            </w:r>
            <w:r>
              <w:rPr>
                <w:rFonts w:ascii="Calibri" w:hAnsi="Calibri" w:cs="Calibri"/>
                <w:color w:val="auto"/>
                <w:sz w:val="18"/>
                <w:szCs w:val="22"/>
                <w:lang w:val="sv-SE"/>
              </w:rPr>
              <w:t>%</w:t>
            </w:r>
            <w:r w:rsidR="00795983">
              <w:rPr>
                <w:rFonts w:ascii="Calibri" w:hAnsi="Calibri" w:cs="Calibri"/>
                <w:color w:val="auto"/>
                <w:sz w:val="18"/>
                <w:szCs w:val="22"/>
                <w:vertAlign w:val="subscript"/>
                <w:lang w:val="sv-SE"/>
              </w:rPr>
              <w:t>0</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e </w:t>
            </w:r>
            <w:r w:rsidR="00795983">
              <w:rPr>
                <w:rFonts w:ascii="Calibri" w:hAnsi="Calibri" w:cs="Calibri"/>
                <w:color w:val="auto"/>
                <w:sz w:val="18"/>
                <w:szCs w:val="22"/>
                <w:lang w:val="sv-SE"/>
              </w:rPr>
              <w:t xml:space="preserve">con </w:t>
            </w:r>
            <w:r w:rsidRPr="00702E89">
              <w:rPr>
                <w:rFonts w:ascii="Calibri" w:hAnsi="Calibri" w:cs="Calibri"/>
                <w:color w:val="auto"/>
                <w:sz w:val="18"/>
                <w:szCs w:val="22"/>
                <w:lang w:val="sv-SE"/>
              </w:rPr>
              <w:t>la media nazionale</w:t>
            </w:r>
            <w:r>
              <w:rPr>
                <w:rFonts w:ascii="Calibri" w:hAnsi="Calibri" w:cs="Calibri"/>
                <w:color w:val="auto"/>
                <w:sz w:val="18"/>
                <w:szCs w:val="22"/>
                <w:lang w:val="sv-SE"/>
              </w:rPr>
              <w:t xml:space="preserve"> (</w:t>
            </w:r>
            <w:r w:rsidR="00795983">
              <w:rPr>
                <w:rFonts w:ascii="Calibri" w:hAnsi="Calibri" w:cs="Calibri"/>
                <w:color w:val="auto"/>
                <w:sz w:val="18"/>
                <w:szCs w:val="22"/>
                <w:lang w:val="sv-SE"/>
              </w:rPr>
              <w:t>212,4</w:t>
            </w:r>
            <w:r>
              <w:rPr>
                <w:rFonts w:ascii="Calibri" w:hAnsi="Calibri" w:cs="Calibri"/>
                <w:color w:val="auto"/>
                <w:sz w:val="18"/>
                <w:szCs w:val="22"/>
                <w:lang w:val="sv-SE"/>
              </w:rPr>
              <w:t>%</w:t>
            </w:r>
            <w:r w:rsidR="00795983">
              <w:rPr>
                <w:rFonts w:ascii="Calibri" w:hAnsi="Calibri" w:cs="Calibri"/>
                <w:color w:val="auto"/>
                <w:sz w:val="18"/>
                <w:szCs w:val="22"/>
                <w:vertAlign w:val="subscript"/>
                <w:lang w:val="sv-SE"/>
              </w:rPr>
              <w:t>0</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Il </w:t>
            </w:r>
            <w:r>
              <w:rPr>
                <w:rFonts w:ascii="Calibri" w:hAnsi="Calibri" w:cs="Calibri"/>
                <w:color w:val="auto"/>
                <w:sz w:val="18"/>
                <w:szCs w:val="22"/>
                <w:lang w:val="sv-SE"/>
              </w:rPr>
              <w:t xml:space="preserve">CdS </w:t>
            </w:r>
            <w:r w:rsidRPr="00702E89">
              <w:rPr>
                <w:rFonts w:ascii="Calibri" w:hAnsi="Calibri" w:cs="Calibri"/>
                <w:color w:val="auto"/>
                <w:sz w:val="18"/>
                <w:szCs w:val="22"/>
                <w:lang w:val="sv-SE"/>
              </w:rPr>
              <w:t xml:space="preserve">si propone </w:t>
            </w:r>
            <w:r>
              <w:rPr>
                <w:rFonts w:ascii="Calibri" w:hAnsi="Calibri" w:cs="Calibri"/>
                <w:color w:val="auto"/>
                <w:sz w:val="18"/>
                <w:szCs w:val="22"/>
                <w:lang w:val="sv-SE"/>
              </w:rPr>
              <w:t xml:space="preserve">pertanto di </w:t>
            </w:r>
            <w:r w:rsidR="00A86C57">
              <w:rPr>
                <w:rFonts w:ascii="Calibri" w:hAnsi="Calibri" w:cs="Calibri"/>
                <w:color w:val="auto"/>
                <w:sz w:val="18"/>
                <w:szCs w:val="22"/>
                <w:lang w:val="sv-SE"/>
              </w:rPr>
              <w:t>prosegui</w:t>
            </w:r>
            <w:r>
              <w:rPr>
                <w:rFonts w:ascii="Calibri" w:hAnsi="Calibri" w:cs="Calibri"/>
                <w:color w:val="auto"/>
                <w:sz w:val="18"/>
                <w:szCs w:val="22"/>
                <w:lang w:val="sv-SE"/>
              </w:rPr>
              <w:t xml:space="preserve">re </w:t>
            </w:r>
            <w:r w:rsidR="00A86C57">
              <w:rPr>
                <w:rFonts w:ascii="Calibri" w:hAnsi="Calibri" w:cs="Calibri"/>
                <w:color w:val="auto"/>
                <w:sz w:val="18"/>
                <w:szCs w:val="22"/>
                <w:lang w:val="sv-SE"/>
              </w:rPr>
              <w:t>nel</w:t>
            </w:r>
            <w:r>
              <w:rPr>
                <w:rFonts w:ascii="Calibri" w:hAnsi="Calibri" w:cs="Calibri"/>
                <w:color w:val="auto"/>
                <w:sz w:val="18"/>
                <w:szCs w:val="22"/>
                <w:lang w:val="sv-SE"/>
              </w:rPr>
              <w:t>l’</w:t>
            </w:r>
            <w:r w:rsidRPr="00702E89">
              <w:rPr>
                <w:rFonts w:ascii="Calibri" w:hAnsi="Calibri" w:cs="Calibri"/>
                <w:color w:val="auto"/>
                <w:sz w:val="18"/>
                <w:szCs w:val="22"/>
                <w:lang w:val="sv-SE"/>
              </w:rPr>
              <w:t>azione correttiva</w:t>
            </w:r>
            <w:r>
              <w:rPr>
                <w:rFonts w:ascii="Calibri" w:hAnsi="Calibri" w:cs="Calibri"/>
                <w:color w:val="auto"/>
                <w:sz w:val="18"/>
                <w:szCs w:val="22"/>
                <w:lang w:val="sv-SE"/>
              </w:rPr>
              <w:t>, che ha portato a</w:t>
            </w:r>
            <w:r w:rsidR="00A86C57">
              <w:rPr>
                <w:rFonts w:ascii="Calibri" w:hAnsi="Calibri" w:cs="Calibri"/>
                <w:color w:val="auto"/>
                <w:sz w:val="18"/>
                <w:szCs w:val="22"/>
                <w:lang w:val="sv-SE"/>
              </w:rPr>
              <w:t>ll</w:t>
            </w:r>
            <w:r>
              <w:rPr>
                <w:rFonts w:ascii="Calibri" w:hAnsi="Calibri" w:cs="Calibri"/>
                <w:color w:val="auto"/>
                <w:sz w:val="18"/>
                <w:szCs w:val="22"/>
                <w:lang w:val="sv-SE"/>
              </w:rPr>
              <w:t xml:space="preserve">a </w:t>
            </w:r>
            <w:r w:rsidR="00A86C57">
              <w:rPr>
                <w:rFonts w:ascii="Calibri" w:hAnsi="Calibri" w:cs="Calibri"/>
                <w:color w:val="auto"/>
                <w:sz w:val="18"/>
                <w:szCs w:val="22"/>
                <w:lang w:val="sv-SE"/>
              </w:rPr>
              <w:t xml:space="preserve">sensibile </w:t>
            </w:r>
            <w:r>
              <w:rPr>
                <w:rFonts w:ascii="Calibri" w:hAnsi="Calibri" w:cs="Calibri"/>
                <w:color w:val="auto"/>
                <w:sz w:val="18"/>
                <w:szCs w:val="22"/>
                <w:lang w:val="sv-SE"/>
              </w:rPr>
              <w:t>inversione di tendenza nel 201</w:t>
            </w:r>
            <w:r w:rsidR="00A86C57">
              <w:rPr>
                <w:rFonts w:ascii="Calibri" w:hAnsi="Calibri" w:cs="Calibri"/>
                <w:color w:val="auto"/>
                <w:sz w:val="18"/>
                <w:szCs w:val="22"/>
                <w:lang w:val="sv-SE"/>
              </w:rPr>
              <w:t>9</w:t>
            </w:r>
            <w:r>
              <w:rPr>
                <w:rFonts w:ascii="Calibri" w:hAnsi="Calibri" w:cs="Calibri"/>
                <w:color w:val="auto"/>
                <w:sz w:val="18"/>
                <w:szCs w:val="22"/>
                <w:lang w:val="sv-SE"/>
              </w:rPr>
              <w:t>, secondo due direzioni: a) intensificando i canali di diffusione del programma Erasmus</w:t>
            </w:r>
            <w:r w:rsidR="00A86C57">
              <w:rPr>
                <w:rFonts w:ascii="Calibri" w:hAnsi="Calibri" w:cs="Calibri"/>
                <w:color w:val="auto"/>
                <w:sz w:val="18"/>
                <w:szCs w:val="22"/>
                <w:lang w:val="sv-SE"/>
              </w:rPr>
              <w:t>,</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sensibilizza</w:t>
            </w:r>
            <w:r>
              <w:rPr>
                <w:rFonts w:ascii="Calibri" w:hAnsi="Calibri" w:cs="Calibri"/>
                <w:color w:val="auto"/>
                <w:sz w:val="18"/>
                <w:szCs w:val="22"/>
                <w:lang w:val="sv-SE"/>
              </w:rPr>
              <w:t>ndo ulteriormente</w:t>
            </w:r>
            <w:r w:rsidRPr="00702E89">
              <w:rPr>
                <w:rFonts w:ascii="Calibri" w:hAnsi="Calibri" w:cs="Calibri"/>
                <w:color w:val="auto"/>
                <w:sz w:val="18"/>
                <w:szCs w:val="22"/>
                <w:lang w:val="sv-SE"/>
              </w:rPr>
              <w:t xml:space="preserve"> sul punto gli studenti ammessi a</w:t>
            </w:r>
            <w:r>
              <w:rPr>
                <w:rFonts w:ascii="Calibri" w:hAnsi="Calibri" w:cs="Calibri"/>
                <w:color w:val="auto"/>
                <w:sz w:val="18"/>
                <w:szCs w:val="22"/>
                <w:lang w:val="sv-SE"/>
              </w:rPr>
              <w:t>d esso</w:t>
            </w:r>
            <w:r w:rsidR="00A86C57">
              <w:rPr>
                <w:rFonts w:ascii="Calibri" w:hAnsi="Calibri" w:cs="Calibri"/>
                <w:color w:val="auto"/>
                <w:sz w:val="18"/>
                <w:szCs w:val="22"/>
                <w:lang w:val="sv-SE"/>
              </w:rPr>
              <w:t xml:space="preserve"> e concludendo ulteriori accordi internazionali per la mobilità studentesca al di fuori dell’Erasmus</w:t>
            </w:r>
            <w:r>
              <w:rPr>
                <w:rFonts w:ascii="Calibri" w:hAnsi="Calibri" w:cs="Calibri"/>
                <w:color w:val="auto"/>
                <w:sz w:val="18"/>
                <w:szCs w:val="22"/>
                <w:lang w:val="sv-SE"/>
              </w:rPr>
              <w:t>; b) promuovendo l’interesse degli studenti verso l’internazionalizzazione mediante legal competitions a vocazione internazionale ed incoraggiandoli a partecipare a Summer School all’estero mediante il riconoscimento, a certe condizioni, dei 6 cfu per le attività libere</w:t>
            </w:r>
            <w:r w:rsidRPr="00702E89">
              <w:rPr>
                <w:rFonts w:ascii="Calibri" w:hAnsi="Calibri" w:cs="Calibri"/>
                <w:color w:val="auto"/>
                <w:sz w:val="18"/>
                <w:szCs w:val="22"/>
                <w:lang w:val="sv-SE"/>
              </w:rPr>
              <w:t>.</w:t>
            </w:r>
          </w:p>
          <w:p w:rsidRPr="00702E89" w:rsidR="00431963" w:rsidP="00431963" w:rsidRDefault="00431963" w14:paraId="36BD0EC2" w14:textId="77777777">
            <w:pPr>
              <w:pStyle w:val="Default"/>
              <w:mirrorIndents/>
              <w:jc w:val="both"/>
              <w:rPr>
                <w:rFonts w:ascii="Calibri" w:hAnsi="Calibri" w:cs="Calibri"/>
                <w:color w:val="auto"/>
                <w:sz w:val="18"/>
                <w:szCs w:val="22"/>
                <w:lang w:val="sv-SE"/>
              </w:rPr>
            </w:pPr>
          </w:p>
          <w:p w:rsidRPr="00F14D5A" w:rsidR="00431963" w:rsidP="00431963" w:rsidRDefault="00431963" w14:paraId="0DEBFBBA" w14:textId="77777777">
            <w:pPr>
              <w:pStyle w:val="Default"/>
              <w:mirrorIndents/>
              <w:jc w:val="both"/>
              <w:rPr>
                <w:rFonts w:ascii="Calibri" w:hAnsi="Calibri" w:cs="Calibri"/>
                <w:b/>
                <w:color w:val="auto"/>
                <w:sz w:val="18"/>
                <w:szCs w:val="22"/>
                <w:lang w:val="sv-SE"/>
              </w:rPr>
            </w:pPr>
            <w:r>
              <w:rPr>
                <w:rFonts w:ascii="Calibri" w:hAnsi="Calibri" w:cs="Calibri"/>
                <w:b/>
                <w:color w:val="auto"/>
                <w:sz w:val="18"/>
                <w:szCs w:val="22"/>
                <w:lang w:val="sv-SE"/>
              </w:rPr>
              <w:t>Indicatori su Soddisfazione e O</w:t>
            </w:r>
            <w:r w:rsidRPr="00311114">
              <w:rPr>
                <w:rFonts w:ascii="Calibri" w:hAnsi="Calibri" w:cs="Calibri"/>
                <w:b/>
                <w:color w:val="auto"/>
                <w:sz w:val="18"/>
                <w:szCs w:val="22"/>
                <w:lang w:val="sv-SE"/>
              </w:rPr>
              <w:t>ccupabilità dei laureati</w:t>
            </w:r>
          </w:p>
          <w:p w:rsidR="00431963" w:rsidP="00431963" w:rsidRDefault="00431963" w14:paraId="3124BA7B" w14:textId="77777777">
            <w:pPr>
              <w:pStyle w:val="Default"/>
              <w:mirrorIndents/>
              <w:jc w:val="both"/>
              <w:rPr>
                <w:rFonts w:ascii="Calibri" w:hAnsi="Calibri" w:cs="Calibri"/>
                <w:color w:val="auto"/>
                <w:sz w:val="18"/>
                <w:szCs w:val="22"/>
                <w:lang w:val="sv-SE"/>
              </w:rPr>
            </w:pPr>
            <w:r>
              <w:rPr>
                <w:rFonts w:ascii="Calibri" w:hAnsi="Calibri" w:cs="Calibri"/>
                <w:color w:val="auto"/>
                <w:sz w:val="18"/>
                <w:szCs w:val="22"/>
                <w:lang w:val="sv-SE"/>
              </w:rPr>
              <w:t>Indicatori iC26, iC07, iC18, iC25</w:t>
            </w:r>
          </w:p>
          <w:p w:rsidRPr="00702E89" w:rsidR="00431963" w:rsidP="00431963" w:rsidRDefault="00431963" w14:paraId="6912C517" w14:textId="77777777">
            <w:pPr>
              <w:pStyle w:val="Default"/>
              <w:mirrorIndents/>
              <w:jc w:val="both"/>
              <w:rPr>
                <w:rFonts w:ascii="Calibri" w:hAnsi="Calibri" w:cs="Calibri"/>
                <w:color w:val="auto"/>
                <w:sz w:val="18"/>
                <w:szCs w:val="22"/>
                <w:lang w:val="sv-SE"/>
              </w:rPr>
            </w:pPr>
          </w:p>
          <w:p w:rsidRPr="00702E89" w:rsidR="00431963" w:rsidP="00431963" w:rsidRDefault="00431963" w14:paraId="101FFD58" w14:textId="12AC9FBD">
            <w:pPr>
              <w:pStyle w:val="Default"/>
              <w:mirrorIndents/>
              <w:jc w:val="both"/>
              <w:rPr>
                <w:rFonts w:ascii="Calibri" w:hAnsi="Calibri" w:cs="Calibri"/>
                <w:color w:val="auto"/>
                <w:sz w:val="18"/>
                <w:szCs w:val="22"/>
                <w:lang w:val="sv-SE"/>
              </w:rPr>
            </w:pPr>
            <w:r w:rsidRPr="00196514">
              <w:rPr>
                <w:rFonts w:ascii="Calibri" w:hAnsi="Calibri" w:cs="Calibri"/>
                <w:b/>
                <w:color w:val="auto"/>
                <w:sz w:val="18"/>
                <w:szCs w:val="22"/>
                <w:lang w:val="sv-SE"/>
              </w:rPr>
              <w:t>Indicatori iC26 e iC07</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I due indicatori sono presi in esame congiuntamente perché offrono un quadro temporale più ampio degli sbocchi professionali a uno e a tre anni dal titolo. Nel </w:t>
            </w:r>
            <w:r>
              <w:rPr>
                <w:rFonts w:ascii="Calibri" w:hAnsi="Calibri" w:cs="Calibri"/>
                <w:color w:val="auto"/>
                <w:sz w:val="18"/>
                <w:szCs w:val="22"/>
                <w:lang w:val="sv-SE"/>
              </w:rPr>
              <w:t>201</w:t>
            </w:r>
            <w:r w:rsidR="00150E9D">
              <w:rPr>
                <w:rFonts w:ascii="Calibri" w:hAnsi="Calibri" w:cs="Calibri"/>
                <w:color w:val="auto"/>
                <w:sz w:val="18"/>
                <w:szCs w:val="22"/>
                <w:lang w:val="sv-SE"/>
              </w:rPr>
              <w:t>9</w:t>
            </w:r>
            <w:r w:rsidRPr="00702E89">
              <w:rPr>
                <w:rFonts w:ascii="Calibri" w:hAnsi="Calibri" w:cs="Calibri"/>
                <w:color w:val="auto"/>
                <w:sz w:val="18"/>
                <w:szCs w:val="22"/>
                <w:lang w:val="sv-SE"/>
              </w:rPr>
              <w:t xml:space="preserve"> la percentuale di laureati occupati a un anno dal titolo che dichiarano di svolgere un’attività lavorativa o di formazione retribuita (</w:t>
            </w:r>
            <w:r w:rsidRPr="00311114">
              <w:rPr>
                <w:rFonts w:ascii="Calibri" w:hAnsi="Calibri" w:cs="Calibri"/>
                <w:b/>
                <w:color w:val="auto"/>
                <w:sz w:val="18"/>
                <w:szCs w:val="22"/>
                <w:lang w:val="sv-SE"/>
              </w:rPr>
              <w:t>indicatore iC26</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è del</w:t>
            </w:r>
            <w:r w:rsidRPr="00702E89">
              <w:rPr>
                <w:rFonts w:ascii="Calibri" w:hAnsi="Calibri" w:cs="Calibri"/>
                <w:color w:val="auto"/>
                <w:sz w:val="18"/>
                <w:szCs w:val="22"/>
                <w:lang w:val="sv-SE"/>
              </w:rPr>
              <w:t xml:space="preserve"> 2</w:t>
            </w:r>
            <w:r w:rsidR="00150E9D">
              <w:rPr>
                <w:rFonts w:ascii="Calibri" w:hAnsi="Calibri" w:cs="Calibri"/>
                <w:color w:val="auto"/>
                <w:sz w:val="18"/>
                <w:szCs w:val="22"/>
                <w:lang w:val="sv-SE"/>
              </w:rPr>
              <w:t>6</w:t>
            </w:r>
            <w:r>
              <w:rPr>
                <w:rFonts w:ascii="Calibri" w:hAnsi="Calibri" w:cs="Calibri"/>
                <w:color w:val="auto"/>
                <w:sz w:val="18"/>
                <w:szCs w:val="22"/>
                <w:lang w:val="sv-SE"/>
              </w:rPr>
              <w:t>,2</w:t>
            </w:r>
            <w:r w:rsidRPr="00702E89">
              <w:rPr>
                <w:rFonts w:ascii="Calibri" w:hAnsi="Calibri" w:cs="Calibri"/>
                <w:color w:val="auto"/>
                <w:sz w:val="18"/>
                <w:szCs w:val="22"/>
                <w:lang w:val="sv-SE"/>
              </w:rPr>
              <w:t xml:space="preserve">%, </w:t>
            </w:r>
            <w:r w:rsidR="00150E9D">
              <w:rPr>
                <w:rFonts w:ascii="Calibri" w:hAnsi="Calibri" w:cs="Calibri"/>
                <w:color w:val="auto"/>
                <w:sz w:val="18"/>
                <w:szCs w:val="22"/>
                <w:lang w:val="sv-SE"/>
              </w:rPr>
              <w:t>i</w:t>
            </w:r>
            <w:r w:rsidRPr="00702E89">
              <w:rPr>
                <w:rFonts w:ascii="Calibri" w:hAnsi="Calibri" w:cs="Calibri"/>
                <w:color w:val="auto"/>
                <w:sz w:val="18"/>
                <w:szCs w:val="22"/>
                <w:lang w:val="sv-SE"/>
              </w:rPr>
              <w:t xml:space="preserve">n </w:t>
            </w:r>
            <w:r w:rsidR="00150E9D">
              <w:rPr>
                <w:rFonts w:ascii="Calibri" w:hAnsi="Calibri" w:cs="Calibri"/>
                <w:color w:val="auto"/>
                <w:sz w:val="18"/>
                <w:szCs w:val="22"/>
                <w:lang w:val="sv-SE"/>
              </w:rPr>
              <w:t>sostanziale continuità con i</w:t>
            </w:r>
            <w:r>
              <w:rPr>
                <w:rFonts w:ascii="Calibri" w:hAnsi="Calibri" w:cs="Calibri"/>
                <w:color w:val="auto"/>
                <w:sz w:val="18"/>
                <w:szCs w:val="22"/>
                <w:lang w:val="sv-SE"/>
              </w:rPr>
              <w:t>l</w:t>
            </w:r>
            <w:r w:rsidRPr="00702E89">
              <w:rPr>
                <w:rFonts w:ascii="Calibri" w:hAnsi="Calibri" w:cs="Calibri"/>
                <w:color w:val="auto"/>
                <w:sz w:val="18"/>
                <w:szCs w:val="22"/>
                <w:lang w:val="sv-SE"/>
              </w:rPr>
              <w:t xml:space="preserve"> 2017 </w:t>
            </w:r>
            <w:r>
              <w:rPr>
                <w:rFonts w:ascii="Calibri" w:hAnsi="Calibri" w:cs="Calibri"/>
                <w:color w:val="auto"/>
                <w:sz w:val="18"/>
                <w:szCs w:val="22"/>
                <w:lang w:val="sv-SE"/>
              </w:rPr>
              <w:t>(</w:t>
            </w:r>
            <w:r w:rsidRPr="00702E89">
              <w:rPr>
                <w:rFonts w:ascii="Calibri" w:hAnsi="Calibri" w:cs="Calibri"/>
                <w:color w:val="auto"/>
                <w:sz w:val="18"/>
                <w:szCs w:val="22"/>
                <w:lang w:val="sv-SE"/>
              </w:rPr>
              <w:t>24,6%)</w:t>
            </w:r>
            <w:r w:rsidR="00150E9D">
              <w:rPr>
                <w:rFonts w:ascii="Calibri" w:hAnsi="Calibri" w:cs="Calibri"/>
                <w:color w:val="auto"/>
                <w:sz w:val="18"/>
                <w:szCs w:val="22"/>
                <w:lang w:val="sv-SE"/>
              </w:rPr>
              <w:t xml:space="preserve"> e il 2018 (28,2%)</w:t>
            </w:r>
            <w:r>
              <w:rPr>
                <w:rFonts w:ascii="Calibri" w:hAnsi="Calibri" w:cs="Calibri"/>
                <w:color w:val="auto"/>
                <w:sz w:val="18"/>
                <w:szCs w:val="22"/>
                <w:lang w:val="sv-SE"/>
              </w:rPr>
              <w:t xml:space="preserve">, </w:t>
            </w:r>
            <w:r w:rsidR="00150E9D">
              <w:rPr>
                <w:rFonts w:ascii="Calibri" w:hAnsi="Calibri" w:cs="Calibri"/>
                <w:color w:val="auto"/>
                <w:sz w:val="18"/>
                <w:szCs w:val="22"/>
                <w:lang w:val="sv-SE"/>
              </w:rPr>
              <w:t>risult</w:t>
            </w:r>
            <w:r>
              <w:rPr>
                <w:rFonts w:ascii="Calibri" w:hAnsi="Calibri" w:cs="Calibri"/>
                <w:color w:val="auto"/>
                <w:sz w:val="18"/>
                <w:szCs w:val="22"/>
                <w:lang w:val="sv-SE"/>
              </w:rPr>
              <w:t xml:space="preserve">ando </w:t>
            </w:r>
            <w:r w:rsidR="00150E9D">
              <w:rPr>
                <w:rFonts w:ascii="Calibri" w:hAnsi="Calibri" w:cs="Calibri"/>
                <w:color w:val="auto"/>
                <w:sz w:val="18"/>
                <w:szCs w:val="22"/>
                <w:lang w:val="sv-SE"/>
              </w:rPr>
              <w:t>però inferiori al</w:t>
            </w:r>
            <w:r w:rsidRPr="00702E89">
              <w:rPr>
                <w:rFonts w:ascii="Calibri" w:hAnsi="Calibri" w:cs="Calibri"/>
                <w:color w:val="auto"/>
                <w:sz w:val="18"/>
                <w:szCs w:val="22"/>
                <w:lang w:val="sv-SE"/>
              </w:rPr>
              <w:t xml:space="preserve">la media dell’area geografica di riferimento </w:t>
            </w:r>
            <w:r>
              <w:rPr>
                <w:rFonts w:ascii="Calibri" w:hAnsi="Calibri" w:cs="Calibri"/>
                <w:color w:val="auto"/>
                <w:sz w:val="18"/>
                <w:szCs w:val="22"/>
                <w:lang w:val="sv-SE"/>
              </w:rPr>
              <w:t>(</w:t>
            </w:r>
            <w:r w:rsidR="00150E9D">
              <w:rPr>
                <w:rFonts w:ascii="Calibri" w:hAnsi="Calibri" w:cs="Calibri"/>
                <w:color w:val="auto"/>
                <w:sz w:val="18"/>
                <w:szCs w:val="22"/>
                <w:lang w:val="sv-SE"/>
              </w:rPr>
              <w:t>33</w:t>
            </w:r>
            <w:r>
              <w:rPr>
                <w:rFonts w:ascii="Calibri" w:hAnsi="Calibri" w:cs="Calibri"/>
                <w:color w:val="auto"/>
                <w:sz w:val="18"/>
                <w:szCs w:val="22"/>
                <w:lang w:val="sv-SE"/>
              </w:rPr>
              <w:t>,</w:t>
            </w:r>
            <w:r w:rsidR="00150E9D">
              <w:rPr>
                <w:rFonts w:ascii="Calibri" w:hAnsi="Calibri" w:cs="Calibri"/>
                <w:color w:val="auto"/>
                <w:sz w:val="18"/>
                <w:szCs w:val="22"/>
                <w:lang w:val="sv-SE"/>
              </w:rPr>
              <w:t>2</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e nazionale</w:t>
            </w:r>
            <w:r>
              <w:rPr>
                <w:rFonts w:ascii="Calibri" w:hAnsi="Calibri" w:cs="Calibri"/>
                <w:color w:val="auto"/>
                <w:sz w:val="18"/>
                <w:szCs w:val="22"/>
                <w:lang w:val="sv-SE"/>
              </w:rPr>
              <w:t xml:space="preserve"> (2</w:t>
            </w:r>
            <w:r w:rsidR="00150E9D">
              <w:rPr>
                <w:rFonts w:ascii="Calibri" w:hAnsi="Calibri" w:cs="Calibri"/>
                <w:color w:val="auto"/>
                <w:sz w:val="18"/>
                <w:szCs w:val="22"/>
                <w:lang w:val="sv-SE"/>
              </w:rPr>
              <w:t>8</w:t>
            </w:r>
            <w:r>
              <w:rPr>
                <w:rFonts w:ascii="Calibri" w:hAnsi="Calibri" w:cs="Calibri"/>
                <w:color w:val="auto"/>
                <w:sz w:val="18"/>
                <w:szCs w:val="22"/>
                <w:lang w:val="sv-SE"/>
              </w:rPr>
              <w:t>,</w:t>
            </w:r>
            <w:r w:rsidR="00150E9D">
              <w:rPr>
                <w:rFonts w:ascii="Calibri" w:hAnsi="Calibri" w:cs="Calibri"/>
                <w:color w:val="auto"/>
                <w:sz w:val="18"/>
                <w:szCs w:val="22"/>
                <w:lang w:val="sv-SE"/>
              </w:rPr>
              <w:t>2</w:t>
            </w:r>
            <w:r>
              <w:rPr>
                <w:rFonts w:ascii="Calibri" w:hAnsi="Calibri" w:cs="Calibri"/>
                <w:color w:val="auto"/>
                <w:sz w:val="18"/>
                <w:szCs w:val="22"/>
                <w:lang w:val="sv-SE"/>
              </w:rPr>
              <w:t>%)</w:t>
            </w:r>
            <w:r w:rsidRPr="00702E89">
              <w:rPr>
                <w:rFonts w:ascii="Calibri" w:hAnsi="Calibri" w:cs="Calibri"/>
                <w:color w:val="auto"/>
                <w:sz w:val="18"/>
                <w:szCs w:val="22"/>
                <w:lang w:val="sv-SE"/>
              </w:rPr>
              <w:t>. La percentuale di laureati occupati a tre anni dal titolo, che dichiarano di svolgere un’attività lavorativa o di formazione retribuita (</w:t>
            </w:r>
            <w:r w:rsidRPr="00311114">
              <w:rPr>
                <w:rFonts w:ascii="Calibri" w:hAnsi="Calibri" w:cs="Calibri"/>
                <w:b/>
                <w:color w:val="auto"/>
                <w:sz w:val="18"/>
                <w:szCs w:val="22"/>
                <w:lang w:val="sv-SE"/>
              </w:rPr>
              <w:t>indicatore iC07</w:t>
            </w:r>
            <w:r w:rsidRPr="00702E89">
              <w:rPr>
                <w:rFonts w:ascii="Calibri" w:hAnsi="Calibri" w:cs="Calibri"/>
                <w:color w:val="auto"/>
                <w:sz w:val="18"/>
                <w:szCs w:val="22"/>
                <w:lang w:val="sv-SE"/>
              </w:rPr>
              <w:t>), si atte</w:t>
            </w:r>
            <w:r>
              <w:rPr>
                <w:rFonts w:ascii="Calibri" w:hAnsi="Calibri" w:cs="Calibri"/>
                <w:color w:val="auto"/>
                <w:sz w:val="18"/>
                <w:szCs w:val="22"/>
                <w:lang w:val="sv-SE"/>
              </w:rPr>
              <w:t>sta nel</w:t>
            </w:r>
            <w:r w:rsidR="00150E9D">
              <w:rPr>
                <w:rFonts w:ascii="Calibri" w:hAnsi="Calibri" w:cs="Calibri"/>
                <w:color w:val="auto"/>
                <w:sz w:val="18"/>
                <w:szCs w:val="22"/>
                <w:lang w:val="sv-SE"/>
              </w:rPr>
              <w:t xml:space="preserve"> 2019 al 61,8%, con un marcato miglioramento</w:t>
            </w:r>
            <w:r>
              <w:rPr>
                <w:rFonts w:ascii="Calibri" w:hAnsi="Calibri" w:cs="Calibri"/>
                <w:color w:val="auto"/>
                <w:sz w:val="18"/>
                <w:szCs w:val="22"/>
                <w:lang w:val="sv-SE"/>
              </w:rPr>
              <w:t xml:space="preserve"> </w:t>
            </w:r>
            <w:r w:rsidR="00150E9D">
              <w:rPr>
                <w:rFonts w:ascii="Calibri" w:hAnsi="Calibri" w:cs="Calibri"/>
                <w:color w:val="auto"/>
                <w:sz w:val="18"/>
                <w:szCs w:val="22"/>
                <w:lang w:val="sv-SE"/>
              </w:rPr>
              <w:t xml:space="preserve">rispetto al </w:t>
            </w:r>
            <w:r>
              <w:rPr>
                <w:rFonts w:ascii="Calibri" w:hAnsi="Calibri" w:cs="Calibri"/>
                <w:color w:val="auto"/>
                <w:sz w:val="18"/>
                <w:szCs w:val="22"/>
                <w:lang w:val="sv-SE"/>
              </w:rPr>
              <w:t xml:space="preserve">2018 </w:t>
            </w:r>
            <w:r w:rsidR="00150E9D">
              <w:rPr>
                <w:rFonts w:ascii="Calibri" w:hAnsi="Calibri" w:cs="Calibri"/>
                <w:color w:val="auto"/>
                <w:sz w:val="18"/>
                <w:szCs w:val="22"/>
                <w:lang w:val="sv-SE"/>
              </w:rPr>
              <w:t>(</w:t>
            </w:r>
            <w:r>
              <w:rPr>
                <w:rFonts w:ascii="Calibri" w:hAnsi="Calibri" w:cs="Calibri"/>
                <w:color w:val="auto"/>
                <w:sz w:val="18"/>
                <w:szCs w:val="22"/>
                <w:lang w:val="sv-SE"/>
              </w:rPr>
              <w:t>50,4%</w:t>
            </w:r>
            <w:r w:rsidR="00150E9D">
              <w:rPr>
                <w:rFonts w:ascii="Calibri" w:hAnsi="Calibri" w:cs="Calibri"/>
                <w:color w:val="auto"/>
                <w:sz w:val="18"/>
                <w:szCs w:val="22"/>
                <w:lang w:val="sv-SE"/>
              </w:rPr>
              <w:t>) e</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al 2017 (44,3%)</w:t>
            </w:r>
            <w:r>
              <w:rPr>
                <w:rFonts w:ascii="Calibri" w:hAnsi="Calibri" w:cs="Calibri"/>
                <w:color w:val="auto"/>
                <w:sz w:val="18"/>
                <w:szCs w:val="22"/>
                <w:lang w:val="sv-SE"/>
              </w:rPr>
              <w:t>, avvicinandosi</w:t>
            </w:r>
            <w:r w:rsidRPr="00702E89">
              <w:rPr>
                <w:rFonts w:ascii="Calibri" w:hAnsi="Calibri" w:cs="Calibri"/>
                <w:color w:val="auto"/>
                <w:sz w:val="18"/>
                <w:szCs w:val="22"/>
                <w:lang w:val="sv-SE"/>
              </w:rPr>
              <w:t xml:space="preserve"> alla media dell’area geografica di riferimento </w:t>
            </w:r>
            <w:r>
              <w:rPr>
                <w:rFonts w:ascii="Calibri" w:hAnsi="Calibri" w:cs="Calibri"/>
                <w:color w:val="auto"/>
                <w:sz w:val="18"/>
                <w:szCs w:val="22"/>
                <w:lang w:val="sv-SE"/>
              </w:rPr>
              <w:t>(6</w:t>
            </w:r>
            <w:r w:rsidR="00150E9D">
              <w:rPr>
                <w:rFonts w:ascii="Calibri" w:hAnsi="Calibri" w:cs="Calibri"/>
                <w:color w:val="auto"/>
                <w:sz w:val="18"/>
                <w:szCs w:val="22"/>
                <w:lang w:val="sv-SE"/>
              </w:rPr>
              <w:t>4</w:t>
            </w:r>
            <w:r>
              <w:rPr>
                <w:rFonts w:ascii="Calibri" w:hAnsi="Calibri" w:cs="Calibri"/>
                <w:color w:val="auto"/>
                <w:sz w:val="18"/>
                <w:szCs w:val="22"/>
                <w:lang w:val="sv-SE"/>
              </w:rPr>
              <w:t>,</w:t>
            </w:r>
            <w:r w:rsidR="00150E9D">
              <w:rPr>
                <w:rFonts w:ascii="Calibri" w:hAnsi="Calibri" w:cs="Calibri"/>
                <w:color w:val="auto"/>
                <w:sz w:val="18"/>
                <w:szCs w:val="22"/>
                <w:lang w:val="sv-SE"/>
              </w:rPr>
              <w:t>1</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e </w:t>
            </w:r>
            <w:r w:rsidR="00150E9D">
              <w:rPr>
                <w:rFonts w:ascii="Calibri" w:hAnsi="Calibri" w:cs="Calibri"/>
                <w:color w:val="auto"/>
                <w:sz w:val="18"/>
                <w:szCs w:val="22"/>
                <w:lang w:val="sv-SE"/>
              </w:rPr>
              <w:t xml:space="preserve">superando del 3% quella </w:t>
            </w:r>
            <w:r w:rsidRPr="00702E89">
              <w:rPr>
                <w:rFonts w:ascii="Calibri" w:hAnsi="Calibri" w:cs="Calibri"/>
                <w:color w:val="auto"/>
                <w:sz w:val="18"/>
                <w:szCs w:val="22"/>
                <w:lang w:val="sv-SE"/>
              </w:rPr>
              <w:t>nazionale</w:t>
            </w:r>
            <w:r>
              <w:rPr>
                <w:rFonts w:ascii="Calibri" w:hAnsi="Calibri" w:cs="Calibri"/>
                <w:color w:val="auto"/>
                <w:sz w:val="18"/>
                <w:szCs w:val="22"/>
                <w:lang w:val="sv-SE"/>
              </w:rPr>
              <w:t xml:space="preserve"> (5</w:t>
            </w:r>
            <w:r w:rsidR="00150E9D">
              <w:rPr>
                <w:rFonts w:ascii="Calibri" w:hAnsi="Calibri" w:cs="Calibri"/>
                <w:color w:val="auto"/>
                <w:sz w:val="18"/>
                <w:szCs w:val="22"/>
                <w:lang w:val="sv-SE"/>
              </w:rPr>
              <w:t>8</w:t>
            </w:r>
            <w:r>
              <w:rPr>
                <w:rFonts w:ascii="Calibri" w:hAnsi="Calibri" w:cs="Calibri"/>
                <w:color w:val="auto"/>
                <w:sz w:val="18"/>
                <w:szCs w:val="22"/>
                <w:lang w:val="sv-SE"/>
              </w:rPr>
              <w:t>,</w:t>
            </w:r>
            <w:r w:rsidR="00150E9D">
              <w:rPr>
                <w:rFonts w:ascii="Calibri" w:hAnsi="Calibri" w:cs="Calibri"/>
                <w:color w:val="auto"/>
                <w:sz w:val="18"/>
                <w:szCs w:val="22"/>
                <w:lang w:val="sv-SE"/>
              </w:rPr>
              <w:t>8</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Il CdS esprime soddisfazione per l’efficacia delle azioni intraprese e si propone di rafforzarle ulteriormente in due direzioni: 1</w:t>
            </w:r>
            <w:r w:rsidRPr="00702E89">
              <w:rPr>
                <w:rFonts w:ascii="Calibri" w:hAnsi="Calibri" w:cs="Calibri"/>
                <w:color w:val="auto"/>
                <w:sz w:val="18"/>
                <w:szCs w:val="22"/>
                <w:lang w:val="sv-SE"/>
              </w:rPr>
              <w:t>) migliora</w:t>
            </w:r>
            <w:r>
              <w:rPr>
                <w:rFonts w:ascii="Calibri" w:hAnsi="Calibri" w:cs="Calibri"/>
                <w:color w:val="auto"/>
                <w:sz w:val="18"/>
                <w:szCs w:val="22"/>
                <w:lang w:val="sv-SE"/>
              </w:rPr>
              <w:t>mento del</w:t>
            </w:r>
            <w:r w:rsidRPr="00702E89">
              <w:rPr>
                <w:rFonts w:ascii="Calibri" w:hAnsi="Calibri" w:cs="Calibri"/>
                <w:color w:val="auto"/>
                <w:sz w:val="18"/>
                <w:szCs w:val="22"/>
                <w:lang w:val="sv-SE"/>
              </w:rPr>
              <w:t xml:space="preserve">le prospettive di accesso alle professioni successivo alla laurea </w:t>
            </w:r>
            <w:r w:rsidR="001A26A9">
              <w:rPr>
                <w:rFonts w:ascii="Calibri" w:hAnsi="Calibri" w:cs="Calibri"/>
                <w:color w:val="auto"/>
                <w:sz w:val="18"/>
                <w:szCs w:val="22"/>
                <w:lang w:val="sv-SE"/>
              </w:rPr>
              <w:t xml:space="preserve">confermando le </w:t>
            </w:r>
            <w:r w:rsidRPr="00702E89">
              <w:rPr>
                <w:rFonts w:ascii="Calibri" w:hAnsi="Calibri" w:cs="Calibri"/>
                <w:color w:val="auto"/>
                <w:sz w:val="18"/>
                <w:szCs w:val="22"/>
                <w:lang w:val="sv-SE"/>
              </w:rPr>
              <w:t>convenzioni di tirocinio anticipato con gli Ordini professionali degli Avvocati (La Spezia, Livorno, Lucca, Massa, Pisa e Prato)</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dei Notai (Livorno, Lucca e Pisa)</w:t>
            </w:r>
            <w:r>
              <w:rPr>
                <w:rFonts w:ascii="Calibri" w:hAnsi="Calibri" w:cs="Calibri"/>
                <w:color w:val="auto"/>
                <w:sz w:val="18"/>
                <w:szCs w:val="22"/>
                <w:lang w:val="sv-SE"/>
              </w:rPr>
              <w:t xml:space="preserve"> e dei Consulenti del lavoro (Consigli provinciali della Toscana e della provincia di La Spezia); 2) organizzazione di apposite giornate di job placement con studi legali ed aziende</w:t>
            </w:r>
            <w:r w:rsidRPr="00702E89">
              <w:rPr>
                <w:rFonts w:ascii="Calibri" w:hAnsi="Calibri" w:cs="Calibri"/>
                <w:color w:val="auto"/>
                <w:sz w:val="18"/>
                <w:szCs w:val="22"/>
                <w:lang w:val="sv-SE"/>
              </w:rPr>
              <w:t>.</w:t>
            </w:r>
          </w:p>
          <w:p w:rsidRPr="00702E89" w:rsidR="001A26A9" w:rsidP="001A26A9" w:rsidRDefault="00431963" w14:paraId="092EE4BC" w14:textId="0E36462A">
            <w:pPr>
              <w:pStyle w:val="Default"/>
              <w:mirrorIndents/>
              <w:jc w:val="both"/>
              <w:rPr>
                <w:rFonts w:ascii="Calibri" w:hAnsi="Calibri" w:cs="Calibri"/>
                <w:color w:val="auto"/>
                <w:sz w:val="18"/>
                <w:szCs w:val="22"/>
                <w:lang w:val="sv-SE"/>
              </w:rPr>
            </w:pPr>
            <w:r w:rsidRPr="00491ECD">
              <w:rPr>
                <w:rFonts w:ascii="Calibri" w:hAnsi="Calibri" w:cs="Calibri"/>
                <w:b/>
                <w:color w:val="auto"/>
                <w:sz w:val="18"/>
                <w:szCs w:val="22"/>
                <w:lang w:val="sv-SE"/>
              </w:rPr>
              <w:t>Indicatori iC18 e iC25</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Si prende</w:t>
            </w:r>
            <w:r w:rsidRPr="00702E89">
              <w:rPr>
                <w:rFonts w:ascii="Calibri" w:hAnsi="Calibri" w:cs="Calibri"/>
                <w:color w:val="auto"/>
                <w:sz w:val="18"/>
                <w:szCs w:val="22"/>
                <w:lang w:val="sv-SE"/>
              </w:rPr>
              <w:t xml:space="preserve"> atto che una percentuale</w:t>
            </w:r>
            <w:r w:rsidR="001A26A9">
              <w:rPr>
                <w:rFonts w:ascii="Calibri" w:hAnsi="Calibri" w:cs="Calibri"/>
                <w:color w:val="auto"/>
                <w:sz w:val="18"/>
                <w:szCs w:val="22"/>
                <w:lang w:val="sv-SE"/>
              </w:rPr>
              <w:t xml:space="preserve"> di circa il</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90</w:t>
            </w:r>
            <w:r w:rsidRPr="00702E89">
              <w:rPr>
                <w:rFonts w:ascii="Calibri" w:hAnsi="Calibri" w:cs="Calibri"/>
                <w:color w:val="auto"/>
                <w:sz w:val="18"/>
                <w:szCs w:val="22"/>
                <w:lang w:val="sv-SE"/>
              </w:rPr>
              <w:t>% dei laureati (</w:t>
            </w:r>
            <w:r w:rsidR="001A26A9">
              <w:rPr>
                <w:rFonts w:ascii="Calibri" w:hAnsi="Calibri" w:cs="Calibri"/>
                <w:color w:val="auto"/>
                <w:sz w:val="18"/>
                <w:szCs w:val="22"/>
                <w:lang w:val="sv-SE"/>
              </w:rPr>
              <w:t xml:space="preserve">89,9%, </w:t>
            </w:r>
            <w:r w:rsidRPr="00702E89">
              <w:rPr>
                <w:rFonts w:ascii="Calibri" w:hAnsi="Calibri" w:cs="Calibri"/>
                <w:color w:val="auto"/>
                <w:sz w:val="18"/>
                <w:szCs w:val="22"/>
                <w:lang w:val="sv-SE"/>
              </w:rPr>
              <w:t>dat</w:t>
            </w:r>
            <w:r w:rsidR="001A26A9">
              <w:rPr>
                <w:rFonts w:ascii="Calibri" w:hAnsi="Calibri" w:cs="Calibri"/>
                <w:color w:val="auto"/>
                <w:sz w:val="18"/>
                <w:szCs w:val="22"/>
                <w:lang w:val="sv-SE"/>
              </w:rPr>
              <w:t>i</w:t>
            </w:r>
            <w:r w:rsidRPr="00702E89">
              <w:rPr>
                <w:rFonts w:ascii="Calibri" w:hAnsi="Calibri" w:cs="Calibri"/>
                <w:color w:val="auto"/>
                <w:sz w:val="18"/>
                <w:szCs w:val="22"/>
                <w:lang w:val="sv-SE"/>
              </w:rPr>
              <w:t xml:space="preserve"> 201</w:t>
            </w:r>
            <w:r w:rsidR="001A26A9">
              <w:rPr>
                <w:rFonts w:ascii="Calibri" w:hAnsi="Calibri" w:cs="Calibri"/>
                <w:color w:val="auto"/>
                <w:sz w:val="18"/>
                <w:szCs w:val="22"/>
                <w:lang w:val="sv-SE"/>
              </w:rPr>
              <w:t>9</w:t>
            </w:r>
            <w:r w:rsidRPr="00702E89">
              <w:rPr>
                <w:rFonts w:ascii="Calibri" w:hAnsi="Calibri" w:cs="Calibri"/>
                <w:color w:val="auto"/>
                <w:sz w:val="18"/>
                <w:szCs w:val="22"/>
                <w:lang w:val="sv-SE"/>
              </w:rPr>
              <w:t xml:space="preserve"> – </w:t>
            </w:r>
            <w:r w:rsidRPr="007320D2">
              <w:rPr>
                <w:rFonts w:ascii="Calibri" w:hAnsi="Calibri" w:cs="Calibri"/>
                <w:b/>
                <w:color w:val="auto"/>
                <w:sz w:val="18"/>
                <w:szCs w:val="22"/>
                <w:lang w:val="sv-SE"/>
              </w:rPr>
              <w:t>indicatore iC25</w:t>
            </w:r>
            <w:r w:rsidRPr="00702E89">
              <w:rPr>
                <w:rFonts w:ascii="Calibri" w:hAnsi="Calibri" w:cs="Calibri"/>
                <w:color w:val="auto"/>
                <w:sz w:val="18"/>
                <w:szCs w:val="22"/>
                <w:lang w:val="sv-SE"/>
              </w:rPr>
              <w:t>) dà un giudizio</w:t>
            </w:r>
            <w:r>
              <w:rPr>
                <w:rFonts w:ascii="Calibri" w:hAnsi="Calibri" w:cs="Calibri"/>
                <w:color w:val="auto"/>
                <w:sz w:val="18"/>
                <w:szCs w:val="22"/>
                <w:lang w:val="sv-SE"/>
              </w:rPr>
              <w:t xml:space="preserve"> complessivo di apprezzamento verso il CdS, con una tendenza</w:t>
            </w:r>
            <w:r w:rsidR="001A26A9">
              <w:rPr>
                <w:rFonts w:ascii="Calibri" w:hAnsi="Calibri" w:cs="Calibri"/>
                <w:color w:val="auto"/>
                <w:sz w:val="18"/>
                <w:szCs w:val="22"/>
                <w:lang w:val="sv-SE"/>
              </w:rPr>
              <w:t xml:space="preserve"> in linea con il 2018 (90,1%) ed in ascesa rispetto agli anni 2015 – 2017 (in media l’87%), </w:t>
            </w:r>
            <w:r w:rsidRPr="00702E89" w:rsidR="001A26A9">
              <w:rPr>
                <w:rFonts w:ascii="Calibri" w:hAnsi="Calibri" w:cs="Calibri"/>
                <w:color w:val="auto"/>
                <w:sz w:val="18"/>
                <w:szCs w:val="22"/>
                <w:lang w:val="sv-SE"/>
              </w:rPr>
              <w:t>e che una percentuale de</w:t>
            </w:r>
            <w:r w:rsidR="001A26A9">
              <w:rPr>
                <w:rFonts w:ascii="Calibri" w:hAnsi="Calibri" w:cs="Calibri"/>
                <w:color w:val="auto"/>
                <w:sz w:val="18"/>
                <w:szCs w:val="22"/>
                <w:lang w:val="sv-SE"/>
              </w:rPr>
              <w:t>l</w:t>
            </w:r>
            <w:r w:rsidRPr="00702E89" w:rsidR="001A26A9">
              <w:rPr>
                <w:rFonts w:ascii="Calibri" w:hAnsi="Calibri" w:cs="Calibri"/>
                <w:color w:val="auto"/>
                <w:sz w:val="18"/>
                <w:szCs w:val="22"/>
                <w:lang w:val="sv-SE"/>
              </w:rPr>
              <w:t xml:space="preserve"> 7</w:t>
            </w:r>
            <w:r w:rsidR="001A26A9">
              <w:rPr>
                <w:rFonts w:ascii="Calibri" w:hAnsi="Calibri" w:cs="Calibri"/>
                <w:color w:val="auto"/>
                <w:sz w:val="18"/>
                <w:szCs w:val="22"/>
                <w:lang w:val="sv-SE"/>
              </w:rPr>
              <w:t>1,3</w:t>
            </w:r>
            <w:r w:rsidRPr="00702E89" w:rsidR="001A26A9">
              <w:rPr>
                <w:rFonts w:ascii="Calibri" w:hAnsi="Calibri" w:cs="Calibri"/>
                <w:color w:val="auto"/>
                <w:sz w:val="18"/>
                <w:szCs w:val="22"/>
                <w:lang w:val="sv-SE"/>
              </w:rPr>
              <w:t>% (</w:t>
            </w:r>
            <w:r w:rsidR="001A26A9">
              <w:rPr>
                <w:rFonts w:ascii="Calibri" w:hAnsi="Calibri" w:cs="Calibri"/>
                <w:color w:val="auto"/>
                <w:sz w:val="18"/>
                <w:szCs w:val="22"/>
                <w:lang w:val="sv-SE"/>
              </w:rPr>
              <w:t xml:space="preserve">contro il 69,8% del 2018) </w:t>
            </w:r>
            <w:r w:rsidRPr="00702E89" w:rsidR="001A26A9">
              <w:rPr>
                <w:rFonts w:ascii="Calibri" w:hAnsi="Calibri" w:cs="Calibri"/>
                <w:color w:val="auto"/>
                <w:sz w:val="18"/>
                <w:szCs w:val="22"/>
                <w:lang w:val="sv-SE"/>
              </w:rPr>
              <w:t>si iscriverebbe di nuovo allo stesso CdS</w:t>
            </w:r>
            <w:r w:rsidR="001A26A9">
              <w:rPr>
                <w:rFonts w:ascii="Calibri" w:hAnsi="Calibri" w:cs="Calibri"/>
                <w:color w:val="auto"/>
                <w:sz w:val="18"/>
                <w:szCs w:val="22"/>
                <w:lang w:val="sv-SE"/>
              </w:rPr>
              <w:t>, secondo una tendenza pressoché costante rispetto agli anni 2015 - 2017</w:t>
            </w:r>
            <w:r w:rsidRPr="00702E89" w:rsidR="001A26A9">
              <w:rPr>
                <w:rFonts w:ascii="Calibri" w:hAnsi="Calibri" w:cs="Calibri"/>
                <w:color w:val="auto"/>
                <w:sz w:val="18"/>
                <w:szCs w:val="22"/>
                <w:lang w:val="sv-SE"/>
              </w:rPr>
              <w:t xml:space="preserve"> (</w:t>
            </w:r>
            <w:r w:rsidRPr="001A26A9" w:rsidR="001A26A9">
              <w:rPr>
                <w:rFonts w:ascii="Calibri" w:hAnsi="Calibri" w:cs="Calibri"/>
                <w:b/>
                <w:bCs/>
                <w:color w:val="auto"/>
                <w:sz w:val="18"/>
                <w:szCs w:val="22"/>
                <w:lang w:val="sv-SE"/>
              </w:rPr>
              <w:t>indicatore iC18</w:t>
            </w:r>
            <w:r w:rsidRPr="00702E89" w:rsidR="001A26A9">
              <w:rPr>
                <w:rFonts w:ascii="Calibri" w:hAnsi="Calibri" w:cs="Calibri"/>
                <w:color w:val="auto"/>
                <w:sz w:val="18"/>
                <w:szCs w:val="22"/>
                <w:lang w:val="sv-SE"/>
              </w:rPr>
              <w:t xml:space="preserve">). Tali dati rivelano, pertanto, una </w:t>
            </w:r>
            <w:r w:rsidR="001A26A9">
              <w:rPr>
                <w:rFonts w:ascii="Calibri" w:hAnsi="Calibri" w:cs="Calibri"/>
                <w:color w:val="auto"/>
                <w:sz w:val="18"/>
                <w:szCs w:val="22"/>
                <w:lang w:val="sv-SE"/>
              </w:rPr>
              <w:t xml:space="preserve">piena </w:t>
            </w:r>
            <w:r w:rsidRPr="00702E89" w:rsidR="001A26A9">
              <w:rPr>
                <w:rFonts w:ascii="Calibri" w:hAnsi="Calibri" w:cs="Calibri"/>
                <w:color w:val="auto"/>
                <w:sz w:val="18"/>
                <w:szCs w:val="22"/>
                <w:lang w:val="sv-SE"/>
              </w:rPr>
              <w:t xml:space="preserve">rispondenza del percorso formativo alle aspettative della </w:t>
            </w:r>
            <w:r w:rsidR="001A26A9">
              <w:rPr>
                <w:rFonts w:ascii="Calibri" w:hAnsi="Calibri" w:cs="Calibri"/>
                <w:color w:val="auto"/>
                <w:sz w:val="18"/>
                <w:szCs w:val="22"/>
                <w:lang w:val="sv-SE"/>
              </w:rPr>
              <w:t xml:space="preserve">grande </w:t>
            </w:r>
            <w:r w:rsidRPr="00702E89" w:rsidR="001A26A9">
              <w:rPr>
                <w:rFonts w:ascii="Calibri" w:hAnsi="Calibri" w:cs="Calibri"/>
                <w:color w:val="auto"/>
                <w:sz w:val="18"/>
                <w:szCs w:val="22"/>
                <w:lang w:val="sv-SE"/>
              </w:rPr>
              <w:t>maggioranza degli studenti</w:t>
            </w:r>
            <w:r w:rsidR="001A26A9">
              <w:rPr>
                <w:rFonts w:ascii="Calibri" w:hAnsi="Calibri" w:cs="Calibri"/>
                <w:color w:val="auto"/>
                <w:sz w:val="18"/>
                <w:szCs w:val="22"/>
                <w:lang w:val="sv-SE"/>
              </w:rPr>
              <w:t xml:space="preserve"> laureati.</w:t>
            </w:r>
          </w:p>
          <w:p w:rsidR="001A26A9" w:rsidP="00431963" w:rsidRDefault="001A26A9" w14:paraId="552FD798" w14:textId="6709B904">
            <w:pPr>
              <w:pStyle w:val="Default"/>
              <w:mirrorIndents/>
              <w:jc w:val="both"/>
              <w:rPr>
                <w:rFonts w:ascii="Calibri" w:hAnsi="Calibri" w:cs="Calibri"/>
                <w:color w:val="auto"/>
                <w:sz w:val="18"/>
                <w:szCs w:val="22"/>
                <w:lang w:val="sv-SE"/>
              </w:rPr>
            </w:pPr>
          </w:p>
          <w:p w:rsidR="001A26A9" w:rsidP="00431963" w:rsidRDefault="001A26A9" w14:paraId="16F30B83" w14:textId="77777777">
            <w:pPr>
              <w:pStyle w:val="Default"/>
              <w:mirrorIndents/>
              <w:jc w:val="both"/>
              <w:rPr>
                <w:rFonts w:ascii="Calibri" w:hAnsi="Calibri" w:cs="Calibri"/>
                <w:b/>
                <w:color w:val="auto"/>
                <w:sz w:val="18"/>
                <w:szCs w:val="22"/>
                <w:lang w:val="sv-SE"/>
              </w:rPr>
            </w:pPr>
          </w:p>
          <w:p w:rsidRPr="007320D2" w:rsidR="00431963" w:rsidP="00431963" w:rsidRDefault="00431963" w14:paraId="3AB40490" w14:textId="6B5780BF">
            <w:pPr>
              <w:pStyle w:val="Default"/>
              <w:mirrorIndents/>
              <w:jc w:val="both"/>
              <w:rPr>
                <w:rFonts w:ascii="Calibri" w:hAnsi="Calibri" w:cs="Calibri"/>
                <w:b/>
                <w:color w:val="auto"/>
                <w:sz w:val="18"/>
                <w:szCs w:val="22"/>
                <w:lang w:val="sv-SE"/>
              </w:rPr>
            </w:pPr>
            <w:r w:rsidRPr="007320D2">
              <w:rPr>
                <w:rFonts w:ascii="Calibri" w:hAnsi="Calibri" w:cs="Calibri"/>
                <w:b/>
                <w:color w:val="auto"/>
                <w:sz w:val="18"/>
                <w:szCs w:val="22"/>
                <w:lang w:val="sv-SE"/>
              </w:rPr>
              <w:t>Indicatori sulla Sostenibilità, Consistenza e Qualificazione della docenza</w:t>
            </w:r>
          </w:p>
          <w:p w:rsidR="00431963" w:rsidP="00431963" w:rsidRDefault="00431963" w14:paraId="271FEBD2" w14:textId="77777777">
            <w:pPr>
              <w:pStyle w:val="Default"/>
              <w:mirrorIndents/>
              <w:jc w:val="both"/>
              <w:rPr>
                <w:rFonts w:ascii="Calibri" w:hAnsi="Calibri" w:cs="Calibri"/>
                <w:color w:val="auto"/>
                <w:sz w:val="18"/>
                <w:szCs w:val="22"/>
                <w:lang w:val="sv-SE"/>
              </w:rPr>
            </w:pPr>
            <w:r>
              <w:rPr>
                <w:rFonts w:ascii="Calibri" w:hAnsi="Calibri" w:cs="Calibri"/>
                <w:color w:val="auto"/>
                <w:sz w:val="18"/>
                <w:szCs w:val="22"/>
                <w:lang w:val="sv-SE"/>
              </w:rPr>
              <w:t>Indicatori iC05, iC08, iC19, iC27, iC28</w:t>
            </w:r>
          </w:p>
          <w:p w:rsidR="00431963" w:rsidP="00431963" w:rsidRDefault="00431963" w14:paraId="0EA69329" w14:textId="77777777">
            <w:pPr>
              <w:pStyle w:val="Default"/>
              <w:mirrorIndents/>
              <w:jc w:val="both"/>
              <w:rPr>
                <w:rFonts w:ascii="Calibri" w:hAnsi="Calibri" w:cs="Calibri"/>
                <w:color w:val="auto"/>
                <w:sz w:val="18"/>
                <w:szCs w:val="22"/>
                <w:lang w:val="sv-SE"/>
              </w:rPr>
            </w:pPr>
          </w:p>
          <w:p w:rsidRPr="00702E89" w:rsidR="00431963" w:rsidP="00431963" w:rsidRDefault="00431963" w14:paraId="27684464" w14:textId="132DD14F">
            <w:pPr>
              <w:pStyle w:val="Default"/>
              <w:mirrorIndents/>
              <w:jc w:val="both"/>
              <w:rPr>
                <w:rFonts w:ascii="Calibri" w:hAnsi="Calibri" w:cs="Calibri"/>
                <w:color w:val="auto"/>
                <w:sz w:val="18"/>
                <w:szCs w:val="22"/>
                <w:lang w:val="sv-SE"/>
              </w:rPr>
            </w:pPr>
            <w:r w:rsidRPr="00BF59E4">
              <w:rPr>
                <w:rFonts w:ascii="Calibri" w:hAnsi="Calibri" w:cs="Calibri"/>
                <w:b/>
                <w:color w:val="auto"/>
                <w:sz w:val="18"/>
                <w:szCs w:val="22"/>
                <w:lang w:val="sv-SE"/>
              </w:rPr>
              <w:t>Indicatore iC05</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I dati contenuti in tal</w:t>
            </w:r>
            <w:r>
              <w:rPr>
                <w:rFonts w:ascii="Calibri" w:hAnsi="Calibri" w:cs="Calibri"/>
                <w:color w:val="auto"/>
                <w:sz w:val="18"/>
                <w:szCs w:val="22"/>
                <w:lang w:val="sv-SE"/>
              </w:rPr>
              <w:t>e</w:t>
            </w:r>
            <w:r w:rsidRPr="00702E89">
              <w:rPr>
                <w:rFonts w:ascii="Calibri" w:hAnsi="Calibri" w:cs="Calibri"/>
                <w:color w:val="auto"/>
                <w:sz w:val="18"/>
                <w:szCs w:val="22"/>
                <w:lang w:val="sv-SE"/>
              </w:rPr>
              <w:t xml:space="preserve"> indicator</w:t>
            </w:r>
            <w:r>
              <w:rPr>
                <w:rFonts w:ascii="Calibri" w:hAnsi="Calibri" w:cs="Calibri"/>
                <w:color w:val="auto"/>
                <w:sz w:val="18"/>
                <w:szCs w:val="22"/>
                <w:lang w:val="sv-SE"/>
              </w:rPr>
              <w:t>e nel 201</w:t>
            </w:r>
            <w:r w:rsidR="005218EB">
              <w:rPr>
                <w:rFonts w:ascii="Calibri" w:hAnsi="Calibri" w:cs="Calibri"/>
                <w:color w:val="auto"/>
                <w:sz w:val="18"/>
                <w:szCs w:val="22"/>
                <w:lang w:val="sv-SE"/>
              </w:rPr>
              <w:t>9</w:t>
            </w:r>
            <w:r w:rsidRPr="00702E89">
              <w:rPr>
                <w:rFonts w:ascii="Calibri" w:hAnsi="Calibri" w:cs="Calibri"/>
                <w:color w:val="auto"/>
                <w:sz w:val="18"/>
                <w:szCs w:val="22"/>
                <w:lang w:val="sv-SE"/>
              </w:rPr>
              <w:t xml:space="preserve"> risultano leggermente </w:t>
            </w:r>
            <w:r>
              <w:rPr>
                <w:rFonts w:ascii="Calibri" w:hAnsi="Calibri" w:cs="Calibri"/>
                <w:color w:val="auto"/>
                <w:sz w:val="18"/>
                <w:szCs w:val="22"/>
                <w:lang w:val="sv-SE"/>
              </w:rPr>
              <w:t>super</w:t>
            </w:r>
            <w:r w:rsidRPr="00702E89">
              <w:rPr>
                <w:rFonts w:ascii="Calibri" w:hAnsi="Calibri" w:cs="Calibri"/>
                <w:color w:val="auto"/>
                <w:sz w:val="18"/>
                <w:szCs w:val="22"/>
                <w:lang w:val="sv-SE"/>
              </w:rPr>
              <w:t>iori sia alla media dell’area geografica</w:t>
            </w:r>
            <w:r>
              <w:rPr>
                <w:rFonts w:ascii="Calibri" w:hAnsi="Calibri" w:cs="Calibri"/>
                <w:color w:val="auto"/>
                <w:sz w:val="18"/>
                <w:szCs w:val="22"/>
                <w:lang w:val="sv-SE"/>
              </w:rPr>
              <w:t xml:space="preserve"> di riferimento</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(2</w:t>
            </w:r>
            <w:r w:rsidR="005218EB">
              <w:rPr>
                <w:rFonts w:ascii="Calibri" w:hAnsi="Calibri" w:cs="Calibri"/>
                <w:color w:val="auto"/>
                <w:sz w:val="18"/>
                <w:szCs w:val="22"/>
                <w:lang w:val="sv-SE"/>
              </w:rPr>
              <w:t>3</w:t>
            </w:r>
            <w:r>
              <w:rPr>
                <w:rFonts w:ascii="Calibri" w:hAnsi="Calibri" w:cs="Calibri"/>
                <w:color w:val="auto"/>
                <w:sz w:val="18"/>
                <w:szCs w:val="22"/>
                <w:lang w:val="sv-SE"/>
              </w:rPr>
              <w:t>,</w:t>
            </w:r>
            <w:r w:rsidR="005218EB">
              <w:rPr>
                <w:rFonts w:ascii="Calibri" w:hAnsi="Calibri" w:cs="Calibri"/>
                <w:color w:val="auto"/>
                <w:sz w:val="18"/>
                <w:szCs w:val="22"/>
                <w:lang w:val="sv-SE"/>
              </w:rPr>
              <w:t>5</w:t>
            </w:r>
            <w:r>
              <w:rPr>
                <w:rFonts w:ascii="Calibri" w:hAnsi="Calibri" w:cs="Calibri"/>
                <w:color w:val="auto"/>
                <w:sz w:val="18"/>
                <w:szCs w:val="22"/>
                <w:lang w:val="sv-SE"/>
              </w:rPr>
              <w:t xml:space="preserve"> contro 2</w:t>
            </w:r>
            <w:r w:rsidR="005218EB">
              <w:rPr>
                <w:rFonts w:ascii="Calibri" w:hAnsi="Calibri" w:cs="Calibri"/>
                <w:color w:val="auto"/>
                <w:sz w:val="18"/>
                <w:szCs w:val="22"/>
                <w:lang w:val="sv-SE"/>
              </w:rPr>
              <w:t>2</w:t>
            </w:r>
            <w:r>
              <w:rPr>
                <w:rFonts w:ascii="Calibri" w:hAnsi="Calibri" w:cs="Calibri"/>
                <w:color w:val="auto"/>
                <w:sz w:val="18"/>
                <w:szCs w:val="22"/>
                <w:lang w:val="sv-SE"/>
              </w:rPr>
              <w:t>,</w:t>
            </w:r>
            <w:r w:rsidR="005218EB">
              <w:rPr>
                <w:rFonts w:ascii="Calibri" w:hAnsi="Calibri" w:cs="Calibri"/>
                <w:color w:val="auto"/>
                <w:sz w:val="18"/>
                <w:szCs w:val="22"/>
                <w:lang w:val="sv-SE"/>
              </w:rPr>
              <w:t>7</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che alla media nazionale</w:t>
            </w:r>
            <w:r>
              <w:rPr>
                <w:rFonts w:ascii="Calibri" w:hAnsi="Calibri" w:cs="Calibri"/>
                <w:color w:val="auto"/>
                <w:sz w:val="18"/>
                <w:szCs w:val="22"/>
                <w:lang w:val="sv-SE"/>
              </w:rPr>
              <w:t xml:space="preserve"> (2</w:t>
            </w:r>
            <w:r w:rsidR="005218EB">
              <w:rPr>
                <w:rFonts w:ascii="Calibri" w:hAnsi="Calibri" w:cs="Calibri"/>
                <w:color w:val="auto"/>
                <w:sz w:val="18"/>
                <w:szCs w:val="22"/>
                <w:lang w:val="sv-SE"/>
              </w:rPr>
              <w:t>2</w:t>
            </w:r>
            <w:r>
              <w:rPr>
                <w:rFonts w:ascii="Calibri" w:hAnsi="Calibri" w:cs="Calibri"/>
                <w:color w:val="auto"/>
                <w:sz w:val="18"/>
                <w:szCs w:val="22"/>
                <w:lang w:val="sv-SE"/>
              </w:rPr>
              <w:t>,</w:t>
            </w:r>
            <w:r w:rsidR="005218EB">
              <w:rPr>
                <w:rFonts w:ascii="Calibri" w:hAnsi="Calibri" w:cs="Calibri"/>
                <w:color w:val="auto"/>
                <w:sz w:val="18"/>
                <w:szCs w:val="22"/>
                <w:lang w:val="sv-SE"/>
              </w:rPr>
              <w:t>3</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Pur assestandosi su numeri più ragionevoli il rapporto tra studenti regolari e docenti</w:t>
            </w:r>
            <w:r w:rsidRPr="00702E89">
              <w:rPr>
                <w:rFonts w:ascii="Calibri" w:hAnsi="Calibri" w:cs="Calibri"/>
                <w:color w:val="auto"/>
                <w:sz w:val="18"/>
                <w:szCs w:val="22"/>
                <w:lang w:val="sv-SE"/>
              </w:rPr>
              <w:t xml:space="preserve">, il CdS si pone l’obiettivo di un </w:t>
            </w:r>
            <w:r>
              <w:rPr>
                <w:rFonts w:ascii="Calibri" w:hAnsi="Calibri" w:cs="Calibri"/>
                <w:color w:val="auto"/>
                <w:sz w:val="18"/>
                <w:szCs w:val="22"/>
                <w:lang w:val="sv-SE"/>
              </w:rPr>
              <w:t xml:space="preserve">suo ulteriore </w:t>
            </w:r>
            <w:r w:rsidRPr="00702E89">
              <w:rPr>
                <w:rFonts w:ascii="Calibri" w:hAnsi="Calibri" w:cs="Calibri"/>
                <w:color w:val="auto"/>
                <w:sz w:val="18"/>
                <w:szCs w:val="22"/>
                <w:lang w:val="sv-SE"/>
              </w:rPr>
              <w:t>miglioramento, avanzando adeguate richieste di reclutamento di nuovo personale, principalmente per i SSD in sofferenza.</w:t>
            </w:r>
          </w:p>
          <w:p w:rsidRPr="00702E89" w:rsidR="00431963" w:rsidP="00431963" w:rsidRDefault="00431963" w14:paraId="66148884" w14:textId="0A42FC1C">
            <w:pPr>
              <w:pStyle w:val="Default"/>
              <w:mirrorIndents/>
              <w:jc w:val="both"/>
              <w:rPr>
                <w:rFonts w:ascii="Calibri" w:hAnsi="Calibri" w:cs="Calibri"/>
                <w:color w:val="auto"/>
                <w:sz w:val="18"/>
                <w:szCs w:val="22"/>
                <w:lang w:val="sv-SE"/>
              </w:rPr>
            </w:pPr>
            <w:r w:rsidRPr="00BF59E4">
              <w:rPr>
                <w:rFonts w:ascii="Calibri" w:hAnsi="Calibri" w:cs="Calibri"/>
                <w:b/>
                <w:color w:val="auto"/>
                <w:sz w:val="18"/>
                <w:szCs w:val="22"/>
                <w:lang w:val="sv-SE"/>
              </w:rPr>
              <w:t>Indicatore iC08</w:t>
            </w:r>
            <w:r>
              <w:rPr>
                <w:rFonts w:ascii="Calibri" w:hAnsi="Calibri" w:cs="Calibri"/>
                <w:color w:val="auto"/>
                <w:sz w:val="18"/>
                <w:szCs w:val="22"/>
                <w:lang w:val="sv-SE"/>
              </w:rPr>
              <w:t xml:space="preserve">: I dati di questo </w:t>
            </w:r>
            <w:r w:rsidRPr="00702E89">
              <w:rPr>
                <w:rFonts w:ascii="Calibri" w:hAnsi="Calibri" w:cs="Calibri"/>
                <w:color w:val="auto"/>
                <w:sz w:val="18"/>
                <w:szCs w:val="22"/>
                <w:lang w:val="sv-SE"/>
              </w:rPr>
              <w:t xml:space="preserve">indicatore </w:t>
            </w:r>
            <w:r w:rsidR="005218EB">
              <w:rPr>
                <w:rFonts w:ascii="Calibri" w:hAnsi="Calibri" w:cs="Calibri"/>
                <w:color w:val="auto"/>
                <w:sz w:val="18"/>
                <w:szCs w:val="22"/>
                <w:lang w:val="sv-SE"/>
              </w:rPr>
              <w:t xml:space="preserve">anche </w:t>
            </w:r>
            <w:r>
              <w:rPr>
                <w:rFonts w:ascii="Calibri" w:hAnsi="Calibri" w:cs="Calibri"/>
                <w:color w:val="auto"/>
                <w:sz w:val="18"/>
                <w:szCs w:val="22"/>
                <w:lang w:val="sv-SE"/>
              </w:rPr>
              <w:t>nel 201</w:t>
            </w:r>
            <w:r w:rsidR="005218EB">
              <w:rPr>
                <w:rFonts w:ascii="Calibri" w:hAnsi="Calibri" w:cs="Calibri"/>
                <w:color w:val="auto"/>
                <w:sz w:val="18"/>
                <w:szCs w:val="22"/>
                <w:lang w:val="sv-SE"/>
              </w:rPr>
              <w:t>9</w:t>
            </w:r>
            <w:r>
              <w:rPr>
                <w:rFonts w:ascii="Calibri" w:hAnsi="Calibri" w:cs="Calibri"/>
                <w:color w:val="auto"/>
                <w:sz w:val="18"/>
                <w:szCs w:val="22"/>
                <w:lang w:val="sv-SE"/>
              </w:rPr>
              <w:t xml:space="preserve"> r</w:t>
            </w:r>
            <w:r w:rsidRPr="00702E89">
              <w:rPr>
                <w:rFonts w:ascii="Calibri" w:hAnsi="Calibri" w:cs="Calibri"/>
                <w:color w:val="auto"/>
                <w:sz w:val="18"/>
                <w:szCs w:val="22"/>
                <w:lang w:val="sv-SE"/>
              </w:rPr>
              <w:t>isulta</w:t>
            </w:r>
            <w:r>
              <w:rPr>
                <w:rFonts w:ascii="Calibri" w:hAnsi="Calibri" w:cs="Calibri"/>
                <w:color w:val="auto"/>
                <w:sz w:val="18"/>
                <w:szCs w:val="22"/>
                <w:lang w:val="sv-SE"/>
              </w:rPr>
              <w:t>no</w:t>
            </w:r>
            <w:r w:rsidRPr="00702E89">
              <w:rPr>
                <w:rFonts w:ascii="Calibri" w:hAnsi="Calibri" w:cs="Calibri"/>
                <w:color w:val="auto"/>
                <w:sz w:val="18"/>
                <w:szCs w:val="22"/>
                <w:lang w:val="sv-SE"/>
              </w:rPr>
              <w:t xml:space="preserve"> pienamente soddisfacent</w:t>
            </w:r>
            <w:r>
              <w:rPr>
                <w:rFonts w:ascii="Calibri" w:hAnsi="Calibri" w:cs="Calibri"/>
                <w:color w:val="auto"/>
                <w:sz w:val="18"/>
                <w:szCs w:val="22"/>
                <w:lang w:val="sv-SE"/>
              </w:rPr>
              <w:t>i</w:t>
            </w:r>
            <w:r w:rsidRPr="00702E89">
              <w:rPr>
                <w:rFonts w:ascii="Calibri" w:hAnsi="Calibri" w:cs="Calibri"/>
                <w:color w:val="auto"/>
                <w:sz w:val="18"/>
                <w:szCs w:val="22"/>
                <w:lang w:val="sv-SE"/>
              </w:rPr>
              <w:t>, attestandosi al 100% di docenti di ruolo</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apparten</w:t>
            </w:r>
            <w:r>
              <w:rPr>
                <w:rFonts w:ascii="Calibri" w:hAnsi="Calibri" w:cs="Calibri"/>
                <w:color w:val="auto"/>
                <w:sz w:val="18"/>
                <w:szCs w:val="22"/>
                <w:lang w:val="sv-SE"/>
              </w:rPr>
              <w:t>enti</w:t>
            </w:r>
            <w:r w:rsidRPr="00702E89">
              <w:rPr>
                <w:rFonts w:ascii="Calibri" w:hAnsi="Calibri" w:cs="Calibri"/>
                <w:color w:val="auto"/>
                <w:sz w:val="18"/>
                <w:szCs w:val="22"/>
                <w:lang w:val="sv-SE"/>
              </w:rPr>
              <w:t xml:space="preserve"> a SSD di base e caratterizzanti</w:t>
            </w:r>
            <w:r>
              <w:rPr>
                <w:rFonts w:ascii="Calibri" w:hAnsi="Calibri" w:cs="Calibri"/>
                <w:color w:val="auto"/>
                <w:sz w:val="18"/>
                <w:szCs w:val="22"/>
                <w:lang w:val="sv-SE"/>
              </w:rPr>
              <w:t>, che svolgono la funzione di docenti di riferimento</w:t>
            </w:r>
            <w:r w:rsidRPr="00702E89">
              <w:rPr>
                <w:rFonts w:ascii="Calibri" w:hAnsi="Calibri" w:cs="Calibri"/>
                <w:color w:val="auto"/>
                <w:sz w:val="18"/>
                <w:szCs w:val="22"/>
                <w:lang w:val="sv-SE"/>
              </w:rPr>
              <w:t>.</w:t>
            </w:r>
            <w:r>
              <w:rPr>
                <w:rFonts w:ascii="Calibri" w:hAnsi="Calibri" w:cs="Calibri"/>
                <w:color w:val="auto"/>
                <w:sz w:val="18"/>
                <w:szCs w:val="22"/>
                <w:lang w:val="sv-SE"/>
              </w:rPr>
              <w:t xml:space="preserve"> Si tratta di dati migliori </w:t>
            </w:r>
            <w:r w:rsidRPr="00702E89">
              <w:rPr>
                <w:rFonts w:ascii="Calibri" w:hAnsi="Calibri" w:cs="Calibri"/>
                <w:color w:val="auto"/>
                <w:sz w:val="18"/>
                <w:szCs w:val="22"/>
                <w:lang w:val="sv-SE"/>
              </w:rPr>
              <w:t>rispetto sia alla media dell’area geografica</w:t>
            </w:r>
            <w:r>
              <w:rPr>
                <w:rFonts w:ascii="Calibri" w:hAnsi="Calibri" w:cs="Calibri"/>
                <w:color w:val="auto"/>
                <w:sz w:val="18"/>
                <w:szCs w:val="22"/>
                <w:lang w:val="sv-SE"/>
              </w:rPr>
              <w:t xml:space="preserve"> di riferimento</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(100% contro 9</w:t>
            </w:r>
            <w:r w:rsidR="005218EB">
              <w:rPr>
                <w:rFonts w:ascii="Calibri" w:hAnsi="Calibri" w:cs="Calibri"/>
                <w:color w:val="auto"/>
                <w:sz w:val="18"/>
                <w:szCs w:val="22"/>
                <w:lang w:val="sv-SE"/>
              </w:rPr>
              <w:t>9</w:t>
            </w:r>
            <w:r>
              <w:rPr>
                <w:rFonts w:ascii="Calibri" w:hAnsi="Calibri" w:cs="Calibri"/>
                <w:color w:val="auto"/>
                <w:sz w:val="18"/>
                <w:szCs w:val="22"/>
                <w:lang w:val="sv-SE"/>
              </w:rPr>
              <w:t>,</w:t>
            </w:r>
            <w:r w:rsidR="005218EB">
              <w:rPr>
                <w:rFonts w:ascii="Calibri" w:hAnsi="Calibri" w:cs="Calibri"/>
                <w:color w:val="auto"/>
                <w:sz w:val="18"/>
                <w:szCs w:val="22"/>
                <w:lang w:val="sv-SE"/>
              </w:rPr>
              <w:t>2</w:t>
            </w:r>
            <w:r>
              <w:rPr>
                <w:rFonts w:ascii="Calibri" w:hAnsi="Calibri" w:cs="Calibri"/>
                <w:color w:val="auto"/>
                <w:sz w:val="18"/>
                <w:szCs w:val="22"/>
                <w:lang w:val="sv-SE"/>
              </w:rPr>
              <w:t xml:space="preserve">% ) </w:t>
            </w:r>
            <w:r w:rsidRPr="00702E89">
              <w:rPr>
                <w:rFonts w:ascii="Calibri" w:hAnsi="Calibri" w:cs="Calibri"/>
                <w:color w:val="auto"/>
                <w:sz w:val="18"/>
                <w:szCs w:val="22"/>
                <w:lang w:val="sv-SE"/>
              </w:rPr>
              <w:t>che alla media nazionale</w:t>
            </w:r>
            <w:r>
              <w:rPr>
                <w:rFonts w:ascii="Calibri" w:hAnsi="Calibri" w:cs="Calibri"/>
                <w:color w:val="auto"/>
                <w:sz w:val="18"/>
                <w:szCs w:val="22"/>
                <w:lang w:val="sv-SE"/>
              </w:rPr>
              <w:t xml:space="preserve"> (100% contro 99,1%) e costituisce uno dei punti di forza del CdS.</w:t>
            </w:r>
          </w:p>
          <w:p w:rsidRPr="00702E89" w:rsidR="00431963" w:rsidP="00431963" w:rsidRDefault="00431963" w14:paraId="3CC62823" w14:textId="0308F1B3">
            <w:pPr>
              <w:pStyle w:val="Default"/>
              <w:mirrorIndents/>
              <w:jc w:val="both"/>
              <w:rPr>
                <w:rFonts w:ascii="Calibri" w:hAnsi="Calibri" w:cs="Calibri"/>
                <w:color w:val="auto"/>
                <w:sz w:val="18"/>
                <w:szCs w:val="22"/>
                <w:lang w:val="sv-SE"/>
              </w:rPr>
            </w:pPr>
            <w:r w:rsidRPr="00BF59E4">
              <w:rPr>
                <w:rFonts w:ascii="Calibri" w:hAnsi="Calibri" w:cs="Calibri"/>
                <w:b/>
                <w:color w:val="auto"/>
                <w:sz w:val="18"/>
                <w:szCs w:val="22"/>
                <w:lang w:val="sv-SE"/>
              </w:rPr>
              <w:t>Indicatore iC19</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I dati contenuti in questo indicatore si rivelano soddisfacenti per il CdS</w:t>
            </w:r>
            <w:r>
              <w:rPr>
                <w:rFonts w:ascii="Calibri" w:hAnsi="Calibri" w:cs="Calibri"/>
                <w:color w:val="auto"/>
                <w:sz w:val="18"/>
                <w:szCs w:val="22"/>
                <w:lang w:val="sv-SE"/>
              </w:rPr>
              <w:t xml:space="preserve"> anche per il 201</w:t>
            </w:r>
            <w:r w:rsidR="00317F14">
              <w:rPr>
                <w:rFonts w:ascii="Calibri" w:hAnsi="Calibri" w:cs="Calibri"/>
                <w:color w:val="auto"/>
                <w:sz w:val="18"/>
                <w:szCs w:val="22"/>
                <w:lang w:val="sv-SE"/>
              </w:rPr>
              <w:t>9</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essendo del</w:t>
            </w:r>
            <w:r w:rsidR="00317F14">
              <w:rPr>
                <w:rFonts w:ascii="Calibri" w:hAnsi="Calibri" w:cs="Calibri"/>
                <w:color w:val="auto"/>
                <w:sz w:val="18"/>
                <w:szCs w:val="22"/>
                <w:lang w:val="sv-SE"/>
              </w:rPr>
              <w:t>l’</w:t>
            </w:r>
            <w:r>
              <w:rPr>
                <w:rFonts w:ascii="Calibri" w:hAnsi="Calibri" w:cs="Calibri"/>
                <w:color w:val="auto"/>
                <w:sz w:val="18"/>
                <w:szCs w:val="22"/>
                <w:lang w:val="sv-SE"/>
              </w:rPr>
              <w:t xml:space="preserve"> </w:t>
            </w:r>
            <w:r w:rsidR="00317F14">
              <w:rPr>
                <w:rFonts w:ascii="Calibri" w:hAnsi="Calibri" w:cs="Calibri"/>
                <w:color w:val="auto"/>
                <w:sz w:val="18"/>
                <w:szCs w:val="22"/>
                <w:lang w:val="sv-SE"/>
              </w:rPr>
              <w:t>86</w:t>
            </w:r>
            <w:r>
              <w:rPr>
                <w:rFonts w:ascii="Calibri" w:hAnsi="Calibri" w:cs="Calibri"/>
                <w:color w:val="auto"/>
                <w:sz w:val="18"/>
                <w:szCs w:val="22"/>
                <w:lang w:val="sv-SE"/>
              </w:rPr>
              <w:t>,</w:t>
            </w:r>
            <w:r w:rsidR="00317F14">
              <w:rPr>
                <w:rFonts w:ascii="Calibri" w:hAnsi="Calibri" w:cs="Calibri"/>
                <w:color w:val="auto"/>
                <w:sz w:val="18"/>
                <w:szCs w:val="22"/>
                <w:lang w:val="sv-SE"/>
              </w:rPr>
              <w:t>8</w:t>
            </w:r>
            <w:r>
              <w:rPr>
                <w:rFonts w:ascii="Calibri" w:hAnsi="Calibri" w:cs="Calibri"/>
                <w:color w:val="auto"/>
                <w:sz w:val="18"/>
                <w:szCs w:val="22"/>
                <w:lang w:val="sv-SE"/>
              </w:rPr>
              <w:t xml:space="preserve">% la percentuale delle ore di docenza erogate da docenti a tempo indeterminato sul totale delle ore di docenza erogata. Risultano così </w:t>
            </w:r>
            <w:r w:rsidRPr="00702E89">
              <w:rPr>
                <w:rFonts w:ascii="Calibri" w:hAnsi="Calibri" w:cs="Calibri"/>
                <w:color w:val="auto"/>
                <w:sz w:val="18"/>
                <w:szCs w:val="22"/>
                <w:lang w:val="sv-SE"/>
              </w:rPr>
              <w:t>supera</w:t>
            </w:r>
            <w:r>
              <w:rPr>
                <w:rFonts w:ascii="Calibri" w:hAnsi="Calibri" w:cs="Calibri"/>
                <w:color w:val="auto"/>
                <w:sz w:val="18"/>
                <w:szCs w:val="22"/>
                <w:lang w:val="sv-SE"/>
              </w:rPr>
              <w:t>te</w:t>
            </w:r>
            <w:r w:rsidRPr="00702E89">
              <w:rPr>
                <w:rFonts w:ascii="Calibri" w:hAnsi="Calibri" w:cs="Calibri"/>
                <w:color w:val="auto"/>
                <w:sz w:val="18"/>
                <w:szCs w:val="22"/>
                <w:lang w:val="sv-SE"/>
              </w:rPr>
              <w:t xml:space="preserve"> in larga misura </w:t>
            </w:r>
            <w:r>
              <w:rPr>
                <w:rFonts w:ascii="Calibri" w:hAnsi="Calibri" w:cs="Calibri"/>
                <w:color w:val="auto"/>
                <w:sz w:val="18"/>
                <w:szCs w:val="22"/>
                <w:lang w:val="sv-SE"/>
              </w:rPr>
              <w:t>le percentua</w:t>
            </w:r>
            <w:r w:rsidRPr="00702E89">
              <w:rPr>
                <w:rFonts w:ascii="Calibri" w:hAnsi="Calibri" w:cs="Calibri"/>
                <w:color w:val="auto"/>
                <w:sz w:val="18"/>
                <w:szCs w:val="22"/>
                <w:lang w:val="sv-SE"/>
              </w:rPr>
              <w:t xml:space="preserve">li della media nazionale </w:t>
            </w:r>
            <w:r>
              <w:rPr>
                <w:rFonts w:ascii="Calibri" w:hAnsi="Calibri" w:cs="Calibri"/>
                <w:color w:val="auto"/>
                <w:sz w:val="18"/>
                <w:szCs w:val="22"/>
                <w:lang w:val="sv-SE"/>
              </w:rPr>
              <w:t>(81,</w:t>
            </w:r>
            <w:r w:rsidR="00317F14">
              <w:rPr>
                <w:rFonts w:ascii="Calibri" w:hAnsi="Calibri" w:cs="Calibri"/>
                <w:color w:val="auto"/>
                <w:sz w:val="18"/>
                <w:szCs w:val="22"/>
                <w:lang w:val="sv-SE"/>
              </w:rPr>
              <w:t>7</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e dell’area geografica di riferimento </w:t>
            </w:r>
            <w:r>
              <w:rPr>
                <w:rFonts w:ascii="Calibri" w:hAnsi="Calibri" w:cs="Calibri"/>
                <w:color w:val="auto"/>
                <w:sz w:val="18"/>
                <w:szCs w:val="22"/>
                <w:lang w:val="sv-SE"/>
              </w:rPr>
              <w:t xml:space="preserve">(76,8%) </w:t>
            </w:r>
            <w:r w:rsidRPr="00702E89">
              <w:rPr>
                <w:rFonts w:ascii="Calibri" w:hAnsi="Calibri" w:cs="Calibri"/>
                <w:color w:val="auto"/>
                <w:sz w:val="18"/>
                <w:szCs w:val="22"/>
                <w:lang w:val="sv-SE"/>
              </w:rPr>
              <w:t xml:space="preserve">e </w:t>
            </w:r>
            <w:r>
              <w:rPr>
                <w:rFonts w:ascii="Calibri" w:hAnsi="Calibri" w:cs="Calibri"/>
                <w:color w:val="auto"/>
                <w:sz w:val="18"/>
                <w:szCs w:val="22"/>
                <w:lang w:val="sv-SE"/>
              </w:rPr>
              <w:t xml:space="preserve">si </w:t>
            </w:r>
            <w:r w:rsidRPr="00702E89">
              <w:rPr>
                <w:rFonts w:ascii="Calibri" w:hAnsi="Calibri" w:cs="Calibri"/>
                <w:color w:val="auto"/>
                <w:sz w:val="18"/>
                <w:szCs w:val="22"/>
                <w:lang w:val="sv-SE"/>
              </w:rPr>
              <w:t>configura</w:t>
            </w:r>
            <w:r>
              <w:rPr>
                <w:rFonts w:ascii="Calibri" w:hAnsi="Calibri" w:cs="Calibri"/>
                <w:color w:val="auto"/>
                <w:sz w:val="18"/>
                <w:szCs w:val="22"/>
                <w:lang w:val="sv-SE"/>
              </w:rPr>
              <w:t xml:space="preserve"> una piena</w:t>
            </w:r>
            <w:r w:rsidRPr="00702E89">
              <w:rPr>
                <w:rFonts w:ascii="Calibri" w:hAnsi="Calibri" w:cs="Calibri"/>
                <w:color w:val="auto"/>
                <w:sz w:val="18"/>
                <w:szCs w:val="22"/>
                <w:lang w:val="sv-SE"/>
              </w:rPr>
              <w:t xml:space="preserve"> risponden</w:t>
            </w:r>
            <w:r>
              <w:rPr>
                <w:rFonts w:ascii="Calibri" w:hAnsi="Calibri" w:cs="Calibri"/>
                <w:color w:val="auto"/>
                <w:sz w:val="18"/>
                <w:szCs w:val="22"/>
                <w:lang w:val="sv-SE"/>
              </w:rPr>
              <w:t xml:space="preserve">za </w:t>
            </w:r>
            <w:r w:rsidRPr="00702E89">
              <w:rPr>
                <w:rFonts w:ascii="Calibri" w:hAnsi="Calibri" w:cs="Calibri"/>
                <w:color w:val="auto"/>
                <w:sz w:val="18"/>
                <w:szCs w:val="22"/>
                <w:lang w:val="sv-SE"/>
              </w:rPr>
              <w:t xml:space="preserve">alle scelte effettuate in sede di programmazione, che </w:t>
            </w:r>
            <w:r w:rsidR="00317F14">
              <w:rPr>
                <w:rFonts w:ascii="Calibri" w:hAnsi="Calibri" w:cs="Calibri"/>
                <w:color w:val="auto"/>
                <w:sz w:val="18"/>
                <w:szCs w:val="22"/>
                <w:lang w:val="sv-SE"/>
              </w:rPr>
              <w:t>continua</w:t>
            </w:r>
            <w:r w:rsidRPr="00702E89">
              <w:rPr>
                <w:rFonts w:ascii="Calibri" w:hAnsi="Calibri" w:cs="Calibri"/>
                <w:color w:val="auto"/>
                <w:sz w:val="18"/>
                <w:szCs w:val="22"/>
                <w:lang w:val="sv-SE"/>
              </w:rPr>
              <w:t xml:space="preserve">no </w:t>
            </w:r>
            <w:r w:rsidR="00317F14">
              <w:rPr>
                <w:rFonts w:ascii="Calibri" w:hAnsi="Calibri" w:cs="Calibri"/>
                <w:color w:val="auto"/>
                <w:sz w:val="18"/>
                <w:szCs w:val="22"/>
                <w:lang w:val="sv-SE"/>
              </w:rPr>
              <w:t xml:space="preserve">a </w:t>
            </w:r>
            <w:r w:rsidRPr="00702E89">
              <w:rPr>
                <w:rFonts w:ascii="Calibri" w:hAnsi="Calibri" w:cs="Calibri"/>
                <w:color w:val="auto"/>
                <w:sz w:val="18"/>
                <w:szCs w:val="22"/>
                <w:lang w:val="sv-SE"/>
              </w:rPr>
              <w:t>privilegia</w:t>
            </w:r>
            <w:r w:rsidR="00317F14">
              <w:rPr>
                <w:rFonts w:ascii="Calibri" w:hAnsi="Calibri" w:cs="Calibri"/>
                <w:color w:val="auto"/>
                <w:sz w:val="18"/>
                <w:szCs w:val="22"/>
                <w:lang w:val="sv-SE"/>
              </w:rPr>
              <w:t>re</w:t>
            </w:r>
            <w:r w:rsidRPr="00702E89">
              <w:rPr>
                <w:rFonts w:ascii="Calibri" w:hAnsi="Calibri" w:cs="Calibri"/>
                <w:color w:val="auto"/>
                <w:sz w:val="18"/>
                <w:szCs w:val="22"/>
                <w:lang w:val="sv-SE"/>
              </w:rPr>
              <w:t xml:space="preserve"> l’attribuzione degli insegnamenti a docenti assunti a tempo indeterminato.</w:t>
            </w:r>
            <w:r>
              <w:rPr>
                <w:rFonts w:ascii="Calibri" w:hAnsi="Calibri" w:cs="Calibri"/>
                <w:color w:val="auto"/>
                <w:sz w:val="18"/>
                <w:szCs w:val="22"/>
                <w:lang w:val="sv-SE"/>
              </w:rPr>
              <w:t xml:space="preserve"> Anche questi dati costituiscono un punto di forza del CdS.</w:t>
            </w:r>
          </w:p>
          <w:p w:rsidR="00431963" w:rsidP="00431963" w:rsidRDefault="00431963" w14:paraId="18FEAE0B" w14:textId="0100B3A4">
            <w:pPr>
              <w:pStyle w:val="Default"/>
              <w:mirrorIndents/>
              <w:jc w:val="both"/>
              <w:rPr>
                <w:rFonts w:ascii="Calibri" w:hAnsi="Calibri" w:cs="Calibri"/>
                <w:color w:val="auto"/>
                <w:sz w:val="18"/>
                <w:szCs w:val="22"/>
                <w:lang w:val="sv-SE"/>
              </w:rPr>
            </w:pPr>
            <w:r w:rsidRPr="00A40A81">
              <w:rPr>
                <w:rFonts w:ascii="Calibri" w:hAnsi="Calibri" w:cs="Calibri"/>
                <w:b/>
                <w:color w:val="auto"/>
                <w:sz w:val="18"/>
                <w:szCs w:val="22"/>
                <w:lang w:val="sv-SE"/>
              </w:rPr>
              <w:t>Indicatori iC27 e iC28</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Dai dati contenuti </w:t>
            </w:r>
            <w:r>
              <w:rPr>
                <w:rFonts w:ascii="Calibri" w:hAnsi="Calibri" w:cs="Calibri"/>
                <w:color w:val="auto"/>
                <w:sz w:val="18"/>
                <w:szCs w:val="22"/>
                <w:lang w:val="sv-SE"/>
              </w:rPr>
              <w:t>nel primo di</w:t>
            </w:r>
            <w:r w:rsidRPr="00702E89">
              <w:rPr>
                <w:rFonts w:ascii="Calibri" w:hAnsi="Calibri" w:cs="Calibri"/>
                <w:color w:val="auto"/>
                <w:sz w:val="18"/>
                <w:szCs w:val="22"/>
                <w:lang w:val="sv-SE"/>
              </w:rPr>
              <w:t xml:space="preserve"> questi indicatori </w:t>
            </w:r>
            <w:r>
              <w:rPr>
                <w:rFonts w:ascii="Calibri" w:hAnsi="Calibri" w:cs="Calibri"/>
                <w:color w:val="auto"/>
                <w:sz w:val="18"/>
                <w:szCs w:val="22"/>
                <w:lang w:val="sv-SE"/>
              </w:rPr>
              <w:t>(</w:t>
            </w:r>
            <w:r w:rsidRPr="003560B7" w:rsidR="003560B7">
              <w:rPr>
                <w:rFonts w:ascii="Calibri" w:hAnsi="Calibri" w:cs="Calibri"/>
                <w:b/>
                <w:bCs/>
                <w:color w:val="auto"/>
                <w:sz w:val="18"/>
                <w:szCs w:val="22"/>
                <w:lang w:val="sv-SE"/>
              </w:rPr>
              <w:t>indicatore</w:t>
            </w:r>
            <w:r w:rsidR="003560B7">
              <w:rPr>
                <w:rFonts w:ascii="Calibri" w:hAnsi="Calibri" w:cs="Calibri"/>
                <w:color w:val="auto"/>
                <w:sz w:val="18"/>
                <w:szCs w:val="22"/>
                <w:lang w:val="sv-SE"/>
              </w:rPr>
              <w:t xml:space="preserve"> </w:t>
            </w:r>
            <w:r w:rsidRPr="003560B7">
              <w:rPr>
                <w:rFonts w:ascii="Calibri" w:hAnsi="Calibri" w:cs="Calibri"/>
                <w:b/>
                <w:bCs/>
                <w:color w:val="auto"/>
                <w:sz w:val="18"/>
                <w:szCs w:val="22"/>
                <w:lang w:val="sv-SE"/>
              </w:rPr>
              <w:t>iC27</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continua ad emergere </w:t>
            </w:r>
            <w:r>
              <w:rPr>
                <w:rFonts w:ascii="Calibri" w:hAnsi="Calibri" w:cs="Calibri"/>
                <w:color w:val="auto"/>
                <w:sz w:val="18"/>
                <w:szCs w:val="22"/>
                <w:lang w:val="sv-SE"/>
              </w:rPr>
              <w:t>anche nel 201</w:t>
            </w:r>
            <w:r w:rsidR="003560B7">
              <w:rPr>
                <w:rFonts w:ascii="Calibri" w:hAnsi="Calibri" w:cs="Calibri"/>
                <w:color w:val="auto"/>
                <w:sz w:val="18"/>
                <w:szCs w:val="22"/>
                <w:lang w:val="sv-SE"/>
              </w:rPr>
              <w:t>9</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un numero di ore per docente in rapporto agli studenti iscritti molto più elevato </w:t>
            </w:r>
            <w:r>
              <w:rPr>
                <w:rFonts w:ascii="Calibri" w:hAnsi="Calibri" w:cs="Calibri"/>
                <w:color w:val="auto"/>
                <w:sz w:val="18"/>
                <w:szCs w:val="22"/>
                <w:lang w:val="sv-SE"/>
              </w:rPr>
              <w:t>(</w:t>
            </w:r>
            <w:r w:rsidR="003560B7">
              <w:rPr>
                <w:rFonts w:ascii="Calibri" w:hAnsi="Calibri" w:cs="Calibri"/>
                <w:color w:val="auto"/>
                <w:sz w:val="18"/>
                <w:szCs w:val="22"/>
                <w:lang w:val="sv-SE"/>
              </w:rPr>
              <w:t>48</w:t>
            </w:r>
            <w:r>
              <w:rPr>
                <w:rFonts w:ascii="Calibri" w:hAnsi="Calibri" w:cs="Calibri"/>
                <w:color w:val="auto"/>
                <w:sz w:val="18"/>
                <w:szCs w:val="22"/>
                <w:lang w:val="sv-SE"/>
              </w:rPr>
              <w:t>,</w:t>
            </w:r>
            <w:r w:rsidR="003560B7">
              <w:rPr>
                <w:rFonts w:ascii="Calibri" w:hAnsi="Calibri" w:cs="Calibri"/>
                <w:color w:val="auto"/>
                <w:sz w:val="18"/>
                <w:szCs w:val="22"/>
                <w:lang w:val="sv-SE"/>
              </w:rPr>
              <w:t>9</w:t>
            </w:r>
            <w:r>
              <w:rPr>
                <w:rFonts w:ascii="Calibri" w:hAnsi="Calibri" w:cs="Calibri"/>
                <w:color w:val="auto"/>
                <w:sz w:val="18"/>
                <w:szCs w:val="22"/>
                <w:lang w:val="sv-SE"/>
              </w:rPr>
              <w:t xml:space="preserve">) </w:t>
            </w:r>
            <w:r w:rsidRPr="00702E89">
              <w:rPr>
                <w:rFonts w:ascii="Calibri" w:hAnsi="Calibri" w:cs="Calibri"/>
                <w:color w:val="auto"/>
                <w:sz w:val="18"/>
                <w:szCs w:val="22"/>
                <w:lang w:val="sv-SE"/>
              </w:rPr>
              <w:t xml:space="preserve">rispetto alla media sia dell’area geografica di riferimento </w:t>
            </w:r>
            <w:r>
              <w:rPr>
                <w:rFonts w:ascii="Calibri" w:hAnsi="Calibri" w:cs="Calibri"/>
                <w:color w:val="auto"/>
                <w:sz w:val="18"/>
                <w:szCs w:val="22"/>
                <w:lang w:val="sv-SE"/>
              </w:rPr>
              <w:t>(</w:t>
            </w:r>
            <w:r w:rsidR="003560B7">
              <w:rPr>
                <w:rFonts w:ascii="Calibri" w:hAnsi="Calibri" w:cs="Calibri"/>
                <w:color w:val="auto"/>
                <w:sz w:val="18"/>
                <w:szCs w:val="22"/>
                <w:lang w:val="sv-SE"/>
              </w:rPr>
              <w:t>38</w:t>
            </w:r>
            <w:r>
              <w:rPr>
                <w:rFonts w:ascii="Calibri" w:hAnsi="Calibri" w:cs="Calibri"/>
                <w:color w:val="auto"/>
                <w:sz w:val="18"/>
                <w:szCs w:val="22"/>
                <w:lang w:val="sv-SE"/>
              </w:rPr>
              <w:t xml:space="preserve">,2) </w:t>
            </w:r>
            <w:r w:rsidRPr="00702E89">
              <w:rPr>
                <w:rFonts w:ascii="Calibri" w:hAnsi="Calibri" w:cs="Calibri"/>
                <w:color w:val="auto"/>
                <w:sz w:val="18"/>
                <w:szCs w:val="22"/>
                <w:lang w:val="sv-SE"/>
              </w:rPr>
              <w:t>che nazionale</w:t>
            </w:r>
            <w:r>
              <w:rPr>
                <w:rFonts w:ascii="Calibri" w:hAnsi="Calibri" w:cs="Calibri"/>
                <w:color w:val="auto"/>
                <w:sz w:val="18"/>
                <w:szCs w:val="22"/>
                <w:lang w:val="sv-SE"/>
              </w:rPr>
              <w:t xml:space="preserve"> (3</w:t>
            </w:r>
            <w:r w:rsidR="003560B7">
              <w:rPr>
                <w:rFonts w:ascii="Calibri" w:hAnsi="Calibri" w:cs="Calibri"/>
                <w:color w:val="auto"/>
                <w:sz w:val="18"/>
                <w:szCs w:val="22"/>
                <w:lang w:val="sv-SE"/>
              </w:rPr>
              <w:t>5</w:t>
            </w:r>
            <w:r>
              <w:rPr>
                <w:rFonts w:ascii="Calibri" w:hAnsi="Calibri" w:cs="Calibri"/>
                <w:color w:val="auto"/>
                <w:sz w:val="18"/>
                <w:szCs w:val="22"/>
                <w:lang w:val="sv-SE"/>
              </w:rPr>
              <w:t>,</w:t>
            </w:r>
            <w:r w:rsidR="003560B7">
              <w:rPr>
                <w:rFonts w:ascii="Calibri" w:hAnsi="Calibri" w:cs="Calibri"/>
                <w:color w:val="auto"/>
                <w:sz w:val="18"/>
                <w:szCs w:val="22"/>
                <w:lang w:val="sv-SE"/>
              </w:rPr>
              <w:t>8</w:t>
            </w:r>
            <w:r>
              <w:rPr>
                <w:rFonts w:ascii="Calibri" w:hAnsi="Calibri" w:cs="Calibri"/>
                <w:color w:val="auto"/>
                <w:sz w:val="18"/>
                <w:szCs w:val="22"/>
                <w:lang w:val="sv-SE"/>
              </w:rPr>
              <w:t xml:space="preserve">). Se, </w:t>
            </w:r>
            <w:r w:rsidRPr="00702E89">
              <w:rPr>
                <w:rFonts w:ascii="Calibri" w:hAnsi="Calibri" w:cs="Calibri"/>
                <w:color w:val="auto"/>
                <w:sz w:val="18"/>
                <w:szCs w:val="22"/>
                <w:lang w:val="sv-SE"/>
              </w:rPr>
              <w:t xml:space="preserve">da un lato, ciò riflette un notevole ed apprezzabile impegno didattico del corpo docente, dall’altro, </w:t>
            </w:r>
            <w:r>
              <w:rPr>
                <w:rFonts w:ascii="Calibri" w:hAnsi="Calibri" w:cs="Calibri"/>
                <w:color w:val="auto"/>
                <w:sz w:val="18"/>
                <w:szCs w:val="22"/>
                <w:lang w:val="sv-SE"/>
              </w:rPr>
              <w:t xml:space="preserve">il CdS lamenta ancora una </w:t>
            </w:r>
            <w:r w:rsidRPr="00702E89">
              <w:rPr>
                <w:rFonts w:ascii="Calibri" w:hAnsi="Calibri" w:cs="Calibri"/>
                <w:color w:val="auto"/>
                <w:sz w:val="18"/>
                <w:szCs w:val="22"/>
                <w:lang w:val="sv-SE"/>
              </w:rPr>
              <w:t xml:space="preserve">situazione di </w:t>
            </w:r>
            <w:r>
              <w:rPr>
                <w:rFonts w:ascii="Calibri" w:hAnsi="Calibri" w:cs="Calibri"/>
                <w:color w:val="auto"/>
                <w:sz w:val="18"/>
                <w:szCs w:val="22"/>
                <w:lang w:val="sv-SE"/>
              </w:rPr>
              <w:t>considerevol</w:t>
            </w:r>
            <w:r w:rsidRPr="00702E89">
              <w:rPr>
                <w:rFonts w:ascii="Calibri" w:hAnsi="Calibri" w:cs="Calibri"/>
                <w:color w:val="auto"/>
                <w:sz w:val="18"/>
                <w:szCs w:val="22"/>
                <w:lang w:val="sv-SE"/>
              </w:rPr>
              <w:t xml:space="preserve">e fabbisogno, dovuta al numero </w:t>
            </w:r>
            <w:r w:rsidRPr="00702E89">
              <w:rPr>
                <w:rFonts w:ascii="Calibri" w:hAnsi="Calibri" w:cs="Calibri"/>
                <w:color w:val="auto"/>
                <w:sz w:val="18"/>
                <w:szCs w:val="22"/>
                <w:lang w:val="sv-SE"/>
              </w:rPr>
              <w:lastRenderedPageBreak/>
              <w:t xml:space="preserve">relativamente basso dei suoi componenti con riguardo agli </w:t>
            </w:r>
            <w:r>
              <w:rPr>
                <w:rFonts w:ascii="Calibri" w:hAnsi="Calibri" w:cs="Calibri"/>
                <w:color w:val="auto"/>
                <w:sz w:val="18"/>
                <w:szCs w:val="22"/>
                <w:lang w:val="sv-SE"/>
              </w:rPr>
              <w:t>insegnamenti previsti nell’offerta formativa</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I dati del secondo indicatore (</w:t>
            </w:r>
            <w:r w:rsidRPr="003560B7" w:rsidR="003560B7">
              <w:rPr>
                <w:rFonts w:ascii="Calibri" w:hAnsi="Calibri" w:cs="Calibri"/>
                <w:b/>
                <w:bCs/>
                <w:color w:val="auto"/>
                <w:sz w:val="18"/>
                <w:szCs w:val="22"/>
                <w:lang w:val="sv-SE"/>
              </w:rPr>
              <w:t xml:space="preserve">indicatore </w:t>
            </w:r>
            <w:r w:rsidRPr="003560B7">
              <w:rPr>
                <w:rFonts w:ascii="Calibri" w:hAnsi="Calibri" w:cs="Calibri"/>
                <w:b/>
                <w:bCs/>
                <w:color w:val="auto"/>
                <w:sz w:val="18"/>
                <w:szCs w:val="22"/>
                <w:lang w:val="sv-SE"/>
              </w:rPr>
              <w:t>iC28</w:t>
            </w:r>
            <w:r>
              <w:rPr>
                <w:rFonts w:ascii="Calibri" w:hAnsi="Calibri" w:cs="Calibri"/>
                <w:color w:val="auto"/>
                <w:sz w:val="18"/>
                <w:szCs w:val="22"/>
                <w:lang w:val="sv-SE"/>
              </w:rPr>
              <w:t>) riflettono nel 201</w:t>
            </w:r>
            <w:r w:rsidR="003560B7">
              <w:rPr>
                <w:rFonts w:ascii="Calibri" w:hAnsi="Calibri" w:cs="Calibri"/>
                <w:color w:val="auto"/>
                <w:sz w:val="18"/>
                <w:szCs w:val="22"/>
                <w:lang w:val="sv-SE"/>
              </w:rPr>
              <w:t>9</w:t>
            </w:r>
            <w:r>
              <w:rPr>
                <w:rFonts w:ascii="Calibri" w:hAnsi="Calibri" w:cs="Calibri"/>
                <w:color w:val="auto"/>
                <w:sz w:val="18"/>
                <w:szCs w:val="22"/>
                <w:lang w:val="sv-SE"/>
              </w:rPr>
              <w:t xml:space="preserve"> un rapporto tra studenti iscritti al primo anno e docenti degli insegnamenti dello stesso di 3</w:t>
            </w:r>
            <w:r w:rsidR="003560B7">
              <w:rPr>
                <w:rFonts w:ascii="Calibri" w:hAnsi="Calibri" w:cs="Calibri"/>
                <w:color w:val="auto"/>
                <w:sz w:val="18"/>
                <w:szCs w:val="22"/>
                <w:lang w:val="sv-SE"/>
              </w:rPr>
              <w:t>3</w:t>
            </w:r>
            <w:r>
              <w:rPr>
                <w:rFonts w:ascii="Calibri" w:hAnsi="Calibri" w:cs="Calibri"/>
                <w:color w:val="auto"/>
                <w:sz w:val="18"/>
                <w:szCs w:val="22"/>
                <w:lang w:val="sv-SE"/>
              </w:rPr>
              <w:t>,</w:t>
            </w:r>
            <w:r w:rsidR="003560B7">
              <w:rPr>
                <w:rFonts w:ascii="Calibri" w:hAnsi="Calibri" w:cs="Calibri"/>
                <w:color w:val="auto"/>
                <w:sz w:val="18"/>
                <w:szCs w:val="22"/>
                <w:lang w:val="sv-SE"/>
              </w:rPr>
              <w:t>2</w:t>
            </w:r>
            <w:r>
              <w:rPr>
                <w:rFonts w:ascii="Calibri" w:hAnsi="Calibri" w:cs="Calibri"/>
                <w:color w:val="auto"/>
                <w:sz w:val="18"/>
                <w:szCs w:val="22"/>
                <w:lang w:val="sv-SE"/>
              </w:rPr>
              <w:t>, con un</w:t>
            </w:r>
            <w:r w:rsidR="003560B7">
              <w:rPr>
                <w:rFonts w:ascii="Calibri" w:hAnsi="Calibri" w:cs="Calibri"/>
                <w:color w:val="auto"/>
                <w:sz w:val="18"/>
                <w:szCs w:val="22"/>
                <w:lang w:val="sv-SE"/>
              </w:rPr>
              <w:t xml:space="preserve"> </w:t>
            </w:r>
            <w:r>
              <w:rPr>
                <w:rFonts w:ascii="Calibri" w:hAnsi="Calibri" w:cs="Calibri"/>
                <w:color w:val="auto"/>
                <w:sz w:val="18"/>
                <w:szCs w:val="22"/>
                <w:lang w:val="sv-SE"/>
              </w:rPr>
              <w:t>a</w:t>
            </w:r>
            <w:r w:rsidR="003560B7">
              <w:rPr>
                <w:rFonts w:ascii="Calibri" w:hAnsi="Calibri" w:cs="Calibri"/>
                <w:color w:val="auto"/>
                <w:sz w:val="18"/>
                <w:szCs w:val="22"/>
                <w:lang w:val="sv-SE"/>
              </w:rPr>
              <w:t>umento</w:t>
            </w:r>
            <w:r>
              <w:rPr>
                <w:rFonts w:ascii="Calibri" w:hAnsi="Calibri" w:cs="Calibri"/>
                <w:color w:val="auto"/>
                <w:sz w:val="18"/>
                <w:szCs w:val="22"/>
                <w:lang w:val="sv-SE"/>
              </w:rPr>
              <w:t xml:space="preserve"> rispetto al dato 201</w:t>
            </w:r>
            <w:r w:rsidR="003560B7">
              <w:rPr>
                <w:rFonts w:ascii="Calibri" w:hAnsi="Calibri" w:cs="Calibri"/>
                <w:color w:val="auto"/>
                <w:sz w:val="18"/>
                <w:szCs w:val="22"/>
                <w:lang w:val="sv-SE"/>
              </w:rPr>
              <w:t>8</w:t>
            </w:r>
            <w:r>
              <w:rPr>
                <w:rFonts w:ascii="Calibri" w:hAnsi="Calibri" w:cs="Calibri"/>
                <w:color w:val="auto"/>
                <w:sz w:val="18"/>
                <w:szCs w:val="22"/>
                <w:lang w:val="sv-SE"/>
              </w:rPr>
              <w:t xml:space="preserve"> (3</w:t>
            </w:r>
            <w:r w:rsidR="003560B7">
              <w:rPr>
                <w:rFonts w:ascii="Calibri" w:hAnsi="Calibri" w:cs="Calibri"/>
                <w:color w:val="auto"/>
                <w:sz w:val="18"/>
                <w:szCs w:val="22"/>
                <w:lang w:val="sv-SE"/>
              </w:rPr>
              <w:t>0</w:t>
            </w:r>
            <w:r>
              <w:rPr>
                <w:rFonts w:ascii="Calibri" w:hAnsi="Calibri" w:cs="Calibri"/>
                <w:color w:val="auto"/>
                <w:sz w:val="18"/>
                <w:szCs w:val="22"/>
                <w:lang w:val="sv-SE"/>
              </w:rPr>
              <w:t>,</w:t>
            </w:r>
            <w:r w:rsidR="003560B7">
              <w:rPr>
                <w:rFonts w:ascii="Calibri" w:hAnsi="Calibri" w:cs="Calibri"/>
                <w:color w:val="auto"/>
                <w:sz w:val="18"/>
                <w:szCs w:val="22"/>
                <w:lang w:val="sv-SE"/>
              </w:rPr>
              <w:t>2</w:t>
            </w:r>
            <w:r>
              <w:rPr>
                <w:rFonts w:ascii="Calibri" w:hAnsi="Calibri" w:cs="Calibri"/>
                <w:color w:val="auto"/>
                <w:sz w:val="18"/>
                <w:szCs w:val="22"/>
                <w:lang w:val="sv-SE"/>
              </w:rPr>
              <w:t>).</w:t>
            </w:r>
            <w:r w:rsidRPr="00702E89">
              <w:rPr>
                <w:rFonts w:ascii="Calibri" w:hAnsi="Calibri" w:cs="Calibri"/>
                <w:color w:val="auto"/>
                <w:sz w:val="18"/>
                <w:szCs w:val="22"/>
                <w:lang w:val="sv-SE"/>
              </w:rPr>
              <w:t xml:space="preserve"> </w:t>
            </w:r>
            <w:r>
              <w:rPr>
                <w:rFonts w:ascii="Calibri" w:hAnsi="Calibri" w:cs="Calibri"/>
                <w:color w:val="auto"/>
                <w:sz w:val="18"/>
                <w:szCs w:val="22"/>
                <w:lang w:val="sv-SE"/>
              </w:rPr>
              <w:t xml:space="preserve">Anche in relazione a tale dato </w:t>
            </w:r>
            <w:r w:rsidRPr="00702E89">
              <w:rPr>
                <w:rFonts w:ascii="Calibri" w:hAnsi="Calibri" w:cs="Calibri"/>
                <w:color w:val="auto"/>
                <w:sz w:val="18"/>
                <w:szCs w:val="22"/>
                <w:lang w:val="sv-SE"/>
              </w:rPr>
              <w:t xml:space="preserve">il CdS si pone l’obiettivo di un </w:t>
            </w:r>
            <w:r>
              <w:rPr>
                <w:rFonts w:ascii="Calibri" w:hAnsi="Calibri" w:cs="Calibri"/>
                <w:color w:val="auto"/>
                <w:sz w:val="18"/>
                <w:szCs w:val="22"/>
                <w:lang w:val="sv-SE"/>
              </w:rPr>
              <w:t xml:space="preserve">ulteriore </w:t>
            </w:r>
            <w:r w:rsidRPr="00702E89">
              <w:rPr>
                <w:rFonts w:ascii="Calibri" w:hAnsi="Calibri" w:cs="Calibri"/>
                <w:color w:val="auto"/>
                <w:sz w:val="18"/>
                <w:szCs w:val="22"/>
                <w:lang w:val="sv-SE"/>
              </w:rPr>
              <w:t xml:space="preserve">miglioramento, avanzando adeguate richieste </w:t>
            </w:r>
            <w:r>
              <w:rPr>
                <w:rFonts w:ascii="Calibri" w:hAnsi="Calibri" w:cs="Calibri"/>
                <w:color w:val="auto"/>
                <w:sz w:val="18"/>
                <w:szCs w:val="22"/>
                <w:lang w:val="sv-SE"/>
              </w:rPr>
              <w:t>per</w:t>
            </w:r>
            <w:r w:rsidRPr="00702E89">
              <w:rPr>
                <w:rFonts w:ascii="Calibri" w:hAnsi="Calibri" w:cs="Calibri"/>
                <w:color w:val="auto"/>
                <w:sz w:val="18"/>
                <w:szCs w:val="22"/>
                <w:lang w:val="sv-SE"/>
              </w:rPr>
              <w:t xml:space="preserve"> recluta</w:t>
            </w:r>
            <w:r>
              <w:rPr>
                <w:rFonts w:ascii="Calibri" w:hAnsi="Calibri" w:cs="Calibri"/>
                <w:color w:val="auto"/>
                <w:sz w:val="18"/>
                <w:szCs w:val="22"/>
                <w:lang w:val="sv-SE"/>
              </w:rPr>
              <w:t>re</w:t>
            </w:r>
            <w:r w:rsidRPr="00702E89">
              <w:rPr>
                <w:rFonts w:ascii="Calibri" w:hAnsi="Calibri" w:cs="Calibri"/>
                <w:color w:val="auto"/>
                <w:sz w:val="18"/>
                <w:szCs w:val="22"/>
                <w:lang w:val="sv-SE"/>
              </w:rPr>
              <w:t xml:space="preserve"> nuovo personale, principalmente per i SSD in sofferenza</w:t>
            </w:r>
            <w:r>
              <w:rPr>
                <w:rFonts w:ascii="Calibri" w:hAnsi="Calibri" w:cs="Calibri"/>
                <w:color w:val="auto"/>
                <w:sz w:val="18"/>
                <w:szCs w:val="22"/>
                <w:lang w:val="sv-SE"/>
              </w:rPr>
              <w:t>.</w:t>
            </w:r>
          </w:p>
          <w:p w:rsidRPr="005E48B6" w:rsidR="00CF6ADA" w:rsidP="00CE0FAD" w:rsidRDefault="00CF6ADA" w14:paraId="7D67A1FA" w14:textId="77777777">
            <w:pPr>
              <w:pStyle w:val="Default"/>
              <w:mirrorIndents/>
              <w:rPr>
                <w:color w:val="auto"/>
                <w:sz w:val="16"/>
                <w:szCs w:val="22"/>
                <w:lang w:val="sv-SE"/>
              </w:rPr>
            </w:pPr>
          </w:p>
          <w:p w:rsidRPr="005E48B6" w:rsidR="00CF6ADA" w:rsidP="00CE0FAD" w:rsidRDefault="00CF6ADA" w14:paraId="0BBDE6B0" w14:textId="77777777">
            <w:pPr>
              <w:pStyle w:val="Default"/>
              <w:mirrorIndents/>
              <w:rPr>
                <w:color w:val="auto"/>
                <w:sz w:val="16"/>
                <w:szCs w:val="22"/>
                <w:lang w:val="sv-SE"/>
              </w:rPr>
            </w:pPr>
          </w:p>
          <w:p w:rsidRPr="00A87E8E" w:rsidR="00CF6ADA" w:rsidP="00CE0FAD" w:rsidRDefault="00CF6ADA" w14:paraId="0F47B2F3" w14:textId="77777777">
            <w:pPr>
              <w:pStyle w:val="Default"/>
              <w:mirrorIndents/>
              <w:rPr>
                <w:i/>
                <w:sz w:val="16"/>
                <w:szCs w:val="18"/>
                <w:lang w:val="sv-SE"/>
              </w:rPr>
            </w:pPr>
          </w:p>
        </w:tc>
      </w:tr>
    </w:tbl>
    <w:p w:rsidR="00C53D16" w:rsidP="00CE0FAD" w:rsidRDefault="00C53D16" w14:paraId="291BEF77" w14:textId="5E5A6B6F">
      <w:pPr>
        <w:mirrorIndents/>
        <w:rPr>
          <w:rFonts w:ascii="Segoe UI" w:hAnsi="Segoe UI" w:cs="Segoe UI"/>
        </w:rPr>
      </w:pPr>
    </w:p>
    <w:p w:rsidR="00C53D16" w:rsidP="00C53D16" w:rsidRDefault="00C53D16" w14:paraId="37A55FD6" w14:textId="01170175">
      <w:pPr>
        <w:rPr>
          <w:rFonts w:ascii="Segoe UI" w:hAnsi="Segoe UI" w:cs="Segoe UI"/>
        </w:rPr>
      </w:pPr>
      <w:r>
        <w:rPr>
          <w:rFonts w:ascii="Segoe UI" w:hAnsi="Segoe UI" w:cs="Segoe UI"/>
        </w:rPr>
        <w:br w:type="page"/>
      </w:r>
    </w:p>
    <w:tbl>
      <w:tblPr>
        <w:tblStyle w:val="Grigliatabel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E2F3" w:themeFill="accent5" w:themeFillTint="33"/>
        <w:tblLook w:val="04A0" w:firstRow="1" w:lastRow="0" w:firstColumn="1" w:lastColumn="0" w:noHBand="0" w:noVBand="1"/>
      </w:tblPr>
      <w:tblGrid>
        <w:gridCol w:w="9392"/>
      </w:tblGrid>
      <w:tr w:rsidRPr="005E48B6" w:rsidR="00C53D16" w:rsidTr="00747CC5" w14:paraId="1E77E2E3" w14:textId="77777777">
        <w:tc>
          <w:tcPr>
            <w:tcW w:w="9392" w:type="dxa"/>
            <w:shd w:val="clear" w:color="auto" w:fill="D5DCE4"/>
            <w:vAlign w:val="center"/>
          </w:tcPr>
          <w:p w:rsidRPr="005E48B6" w:rsidR="00C53D16" w:rsidP="00747CC5" w:rsidRDefault="00CF6ADA" w14:paraId="7E5F060B" w14:textId="77777777">
            <w:pPr>
              <w:spacing w:line="216" w:lineRule="auto"/>
              <w:mirrorIndents/>
              <w:rPr>
                <w:rFonts w:ascii="Segoe UI" w:hAnsi="Segoe UI" w:cs="Segoe UI"/>
                <w:b/>
                <w:sz w:val="22"/>
                <w:szCs w:val="28"/>
              </w:rPr>
            </w:pPr>
            <w:r>
              <w:rPr>
                <w:rFonts w:ascii="Segoe UI" w:hAnsi="Segoe UI" w:cs="Segoe UI"/>
              </w:rPr>
              <w:lastRenderedPageBreak/>
              <w:br w:type="page"/>
            </w:r>
            <w:r w:rsidR="00C53D16">
              <w:rPr>
                <w:rFonts w:ascii="Segoe UI" w:hAnsi="Segoe UI" w:cs="Segoe UI"/>
                <w:b/>
                <w:sz w:val="22"/>
                <w:szCs w:val="28"/>
              </w:rPr>
              <w:t>R</w:t>
            </w:r>
            <w:r w:rsidRPr="005E48B6" w:rsidR="00C53D16">
              <w:rPr>
                <w:rFonts w:ascii="Segoe UI" w:hAnsi="Segoe UI" w:cs="Segoe UI"/>
                <w:b/>
                <w:sz w:val="22"/>
                <w:szCs w:val="28"/>
              </w:rPr>
              <w:t>I</w:t>
            </w:r>
            <w:r w:rsidR="00C53D16">
              <w:rPr>
                <w:rFonts w:ascii="Segoe UI" w:hAnsi="Segoe UI" w:cs="Segoe UI"/>
                <w:b/>
                <w:sz w:val="22"/>
                <w:szCs w:val="28"/>
              </w:rPr>
              <w:t>EPILOGO DEGLI INDICATORI USATI NELLA SMA</w:t>
            </w:r>
          </w:p>
        </w:tc>
      </w:tr>
    </w:tbl>
    <w:p w:rsidR="00C53D16" w:rsidP="00C53D16" w:rsidRDefault="00C53D16" w14:paraId="3E7E2521" w14:textId="77777777">
      <w:pPr>
        <w:spacing w:after="0"/>
        <w:mirrorIndents/>
        <w:rPr>
          <w:rFonts w:ascii="Segoe UI" w:hAnsi="Segoe UI" w:cs="Segoe UI"/>
          <w:i/>
          <w:sz w:val="16"/>
          <w:szCs w:val="18"/>
        </w:rPr>
      </w:pPr>
      <w:r w:rsidRPr="00783743">
        <w:rPr>
          <w:rFonts w:ascii="Segoe UI" w:hAnsi="Segoe UI" w:cs="Segoe UI"/>
          <w:i/>
          <w:sz w:val="16"/>
          <w:szCs w:val="18"/>
        </w:rPr>
        <w:t>(</w:t>
      </w:r>
      <w:r>
        <w:rPr>
          <w:rFonts w:ascii="Segoe UI" w:hAnsi="Segoe UI" w:cs="Segoe UI"/>
          <w:i/>
          <w:sz w:val="16"/>
          <w:szCs w:val="18"/>
        </w:rPr>
        <w:t>I</w:t>
      </w:r>
      <w:r w:rsidRPr="00783743">
        <w:rPr>
          <w:rFonts w:ascii="Segoe UI" w:hAnsi="Segoe UI" w:cs="Segoe UI"/>
          <w:i/>
          <w:sz w:val="16"/>
          <w:szCs w:val="18"/>
        </w:rPr>
        <w:t>ndica</w:t>
      </w:r>
      <w:r>
        <w:rPr>
          <w:rFonts w:ascii="Segoe UI" w:hAnsi="Segoe UI" w:cs="Segoe UI"/>
          <w:i/>
          <w:sz w:val="16"/>
          <w:szCs w:val="18"/>
        </w:rPr>
        <w:t>re con</w:t>
      </w:r>
      <w:r w:rsidRPr="00783743">
        <w:rPr>
          <w:rFonts w:ascii="Segoe UI" w:hAnsi="Segoe UI" w:cs="Segoe UI"/>
          <w:i/>
          <w:sz w:val="16"/>
          <w:szCs w:val="18"/>
        </w:rPr>
        <w:t xml:space="preserve"> </w:t>
      </w:r>
      <w:r>
        <w:rPr>
          <w:rFonts w:ascii="Segoe UI" w:hAnsi="Segoe UI" w:cs="Segoe UI"/>
          <w:i/>
          <w:sz w:val="16"/>
          <w:szCs w:val="18"/>
        </w:rPr>
        <w:t>una crocetta il tenore degli indicatori scelti per il commento, ai fini di successive analisi da parte di tutti gli attori convolti nel Sistema AQ)</w:t>
      </w:r>
    </w:p>
    <w:p w:rsidRPr="003379B9" w:rsidR="00C53D16" w:rsidP="00C53D16" w:rsidRDefault="00C53D16" w14:paraId="086343A6" w14:textId="77777777">
      <w:pPr>
        <w:spacing w:after="0"/>
        <w:mirrorIndents/>
        <w:rPr>
          <w:rFonts w:ascii="Segoe UI" w:hAnsi="Segoe UI" w:cs="Segoe UI"/>
          <w:b/>
          <w:sz w:val="16"/>
          <w:szCs w:val="18"/>
          <w:u w:val="single"/>
        </w:rPr>
      </w:pPr>
      <w:r w:rsidRPr="003379B9">
        <w:rPr>
          <w:rFonts w:ascii="Segoe UI" w:hAnsi="Segoe UI" w:cs="Segoe UI"/>
          <w:b/>
          <w:sz w:val="16"/>
          <w:szCs w:val="18"/>
          <w:u w:val="single"/>
        </w:rPr>
        <w:t>Nota Bene:</w:t>
      </w:r>
    </w:p>
    <w:p w:rsidRPr="003379B9" w:rsidR="00C53D16" w:rsidP="00C53D16" w:rsidRDefault="00C53D16" w14:paraId="6326F6EB" w14:textId="77777777">
      <w:pPr>
        <w:spacing w:after="0"/>
        <w:mirrorIndents/>
        <w:rPr>
          <w:rFonts w:ascii="Segoe UI" w:hAnsi="Segoe UI" w:cs="Segoe UI"/>
          <w:sz w:val="16"/>
          <w:szCs w:val="18"/>
        </w:rPr>
      </w:pPr>
      <w:r w:rsidRPr="003379B9">
        <w:rPr>
          <w:rFonts w:ascii="Segoe UI" w:hAnsi="Segoe UI" w:cs="Segoe UI"/>
          <w:sz w:val="16"/>
          <w:szCs w:val="18"/>
        </w:rPr>
        <w:t>punto di forza: indicatore con valore particolarmente positivo che si ritiene utile menzionare;</w:t>
      </w:r>
    </w:p>
    <w:p w:rsidRPr="003379B9" w:rsidR="00C53D16" w:rsidP="00C53D16" w:rsidRDefault="00C53D16" w14:paraId="68DB7760" w14:textId="77777777">
      <w:pPr>
        <w:mirrorIndents/>
        <w:rPr>
          <w:rFonts w:ascii="Segoe UI" w:hAnsi="Segoe UI" w:cs="Segoe UI"/>
          <w:sz w:val="16"/>
          <w:szCs w:val="18"/>
        </w:rPr>
      </w:pPr>
      <w:r w:rsidRPr="003379B9">
        <w:rPr>
          <w:rFonts w:ascii="Segoe UI" w:hAnsi="Segoe UI" w:cs="Segoe UI"/>
          <w:sz w:val="16"/>
          <w:szCs w:val="18"/>
        </w:rPr>
        <w:t>punto di debolezza: indicatore con valore critico che necessita di ulteriore analisi per individuare possibili cause/soluzioni</w:t>
      </w:r>
    </w:p>
    <w:p w:rsidR="00606426" w:rsidP="00606426" w:rsidRDefault="00606426" w14:paraId="6E5AB2F9" w14:textId="77777777">
      <w:pPr>
        <w:mirrorIndents/>
        <w:rPr>
          <w:rFonts w:ascii="Segoe UI" w:hAnsi="Segoe UI" w:cs="Segoe UI"/>
          <w:i/>
          <w:sz w:val="16"/>
          <w:szCs w:val="18"/>
        </w:rPr>
      </w:pPr>
    </w:p>
    <w:tbl>
      <w:tblPr>
        <w:tblStyle w:val="Grigliatabella"/>
        <w:tblW w:w="0" w:type="auto"/>
        <w:jc w:val="center"/>
        <w:tblLayout w:type="fixed"/>
        <w:tblLook w:val="04A0" w:firstRow="1" w:lastRow="0" w:firstColumn="1" w:lastColumn="0" w:noHBand="0" w:noVBand="1"/>
      </w:tblPr>
      <w:tblGrid>
        <w:gridCol w:w="856"/>
        <w:gridCol w:w="3422"/>
        <w:gridCol w:w="435"/>
        <w:gridCol w:w="435"/>
      </w:tblGrid>
      <w:tr w:rsidR="00606426" w:rsidTr="007935BE" w14:paraId="355779CC" w14:textId="77777777">
        <w:trPr>
          <w:cantSplit/>
          <w:trHeight w:val="1814"/>
          <w:tblHeader/>
          <w:jc w:val="center"/>
        </w:trPr>
        <w:tc>
          <w:tcPr>
            <w:tcW w:w="856" w:type="dxa"/>
            <w:tcBorders>
              <w:right w:val="nil"/>
            </w:tcBorders>
            <w:shd w:val="clear" w:color="auto" w:fill="auto"/>
            <w:vAlign w:val="center"/>
          </w:tcPr>
          <w:p w:rsidRPr="00994E65" w:rsidR="00606426" w:rsidP="007935BE" w:rsidRDefault="00606426" w14:paraId="2890E6BB" w14:textId="77777777">
            <w:pPr>
              <w:mirrorIndents/>
              <w:jc w:val="center"/>
              <w:rPr>
                <w:rFonts w:ascii="Segoe UI" w:hAnsi="Segoe UI" w:cs="Segoe UI"/>
                <w:sz w:val="16"/>
              </w:rPr>
            </w:pPr>
          </w:p>
        </w:tc>
        <w:tc>
          <w:tcPr>
            <w:tcW w:w="3422" w:type="dxa"/>
            <w:tcBorders>
              <w:left w:val="nil"/>
            </w:tcBorders>
            <w:shd w:val="clear" w:color="auto" w:fill="auto"/>
            <w:vAlign w:val="center"/>
          </w:tcPr>
          <w:p w:rsidRPr="00C82ED8" w:rsidR="00606426" w:rsidP="007935BE" w:rsidRDefault="00606426" w14:paraId="59F0598A" w14:textId="77777777">
            <w:pPr>
              <w:mirrorIndents/>
              <w:jc w:val="center"/>
              <w:rPr>
                <w:rFonts w:ascii="Segoe UI" w:hAnsi="Segoe UI" w:cs="Segoe UI"/>
                <w:sz w:val="16"/>
              </w:rPr>
            </w:pPr>
            <w:r w:rsidRPr="00EA7CBF">
              <w:rPr>
                <w:rFonts w:ascii="Segoe UI" w:hAnsi="Segoe UI" w:cs="Segoe UI"/>
                <w:b/>
              </w:rPr>
              <w:t>Indicatori u</w:t>
            </w:r>
            <w:r>
              <w:rPr>
                <w:rFonts w:ascii="Segoe UI" w:hAnsi="Segoe UI" w:cs="Segoe UI"/>
                <w:b/>
              </w:rPr>
              <w:t>s</w:t>
            </w:r>
            <w:r w:rsidRPr="00EA7CBF">
              <w:rPr>
                <w:rFonts w:ascii="Segoe UI" w:hAnsi="Segoe UI" w:cs="Segoe UI"/>
                <w:b/>
              </w:rPr>
              <w:t>ati</w:t>
            </w:r>
            <w:r>
              <w:rPr>
                <w:rFonts w:ascii="Segoe UI" w:hAnsi="Segoe UI" w:cs="Segoe UI"/>
                <w:b/>
              </w:rPr>
              <w:t xml:space="preserve"> nel commento</w:t>
            </w:r>
          </w:p>
        </w:tc>
        <w:tc>
          <w:tcPr>
            <w:tcW w:w="435" w:type="dxa"/>
            <w:textDirection w:val="btLr"/>
            <w:vAlign w:val="center"/>
          </w:tcPr>
          <w:p w:rsidR="00606426" w:rsidP="007935BE" w:rsidRDefault="00606426" w14:paraId="74A7F984" w14:textId="77777777">
            <w:pPr>
              <w:ind w:left="113" w:right="113"/>
              <w:mirrorIndents/>
              <w:rPr>
                <w:rFonts w:ascii="Segoe UI" w:hAnsi="Segoe UI" w:cs="Segoe UI"/>
                <w:b/>
                <w:sz w:val="16"/>
              </w:rPr>
            </w:pPr>
            <w:r>
              <w:rPr>
                <w:rFonts w:ascii="Segoe UI" w:hAnsi="Segoe UI" w:cs="Segoe UI"/>
                <w:b/>
                <w:sz w:val="16"/>
              </w:rPr>
              <w:t>Punto di forza</w:t>
            </w:r>
          </w:p>
        </w:tc>
        <w:tc>
          <w:tcPr>
            <w:tcW w:w="435" w:type="dxa"/>
            <w:textDirection w:val="btLr"/>
            <w:vAlign w:val="center"/>
          </w:tcPr>
          <w:p w:rsidR="00606426" w:rsidP="007935BE" w:rsidRDefault="00606426" w14:paraId="6B1C3CDA" w14:textId="77777777">
            <w:pPr>
              <w:ind w:left="113" w:right="113"/>
              <w:mirrorIndents/>
              <w:rPr>
                <w:rFonts w:ascii="Segoe UI" w:hAnsi="Segoe UI" w:cs="Segoe UI"/>
                <w:b/>
                <w:sz w:val="16"/>
              </w:rPr>
            </w:pPr>
            <w:r>
              <w:rPr>
                <w:rFonts w:ascii="Segoe UI" w:hAnsi="Segoe UI" w:cs="Segoe UI"/>
                <w:b/>
                <w:sz w:val="16"/>
              </w:rPr>
              <w:t>Punto di debolezza</w:t>
            </w:r>
          </w:p>
        </w:tc>
      </w:tr>
      <w:tr w:rsidR="00606426" w:rsidTr="007935BE" w14:paraId="784E6E96" w14:textId="77777777">
        <w:trPr>
          <w:trHeight w:val="425"/>
          <w:jc w:val="center"/>
        </w:trPr>
        <w:tc>
          <w:tcPr>
            <w:tcW w:w="856" w:type="dxa"/>
            <w:tcBorders>
              <w:right w:val="nil"/>
            </w:tcBorders>
            <w:shd w:val="clear" w:color="auto" w:fill="auto"/>
            <w:vAlign w:val="center"/>
          </w:tcPr>
          <w:p w:rsidRPr="003258D6" w:rsidR="00606426" w:rsidP="007935BE" w:rsidRDefault="00606426" w14:paraId="77E851A9" w14:textId="77777777">
            <w:pPr>
              <w:mirrorIndents/>
              <w:jc w:val="center"/>
              <w:rPr>
                <w:rFonts w:ascii="Segoe UI" w:hAnsi="Segoe UI" w:cs="Segoe UI"/>
                <w:b/>
                <w:color w:val="FFFFFF" w:themeColor="background1"/>
                <w:sz w:val="16"/>
                <w:szCs w:val="16"/>
              </w:rPr>
            </w:pPr>
            <w:r w:rsidRPr="00994E65">
              <w:rPr>
                <w:rFonts w:ascii="Segoe UI" w:hAnsi="Segoe UI" w:cs="Segoe UI"/>
                <w:sz w:val="16"/>
              </w:rPr>
              <w:t>iC0</w:t>
            </w:r>
            <w:r>
              <w:rPr>
                <w:rFonts w:ascii="Segoe UI" w:hAnsi="Segoe UI" w:cs="Segoe UI"/>
                <w:sz w:val="16"/>
              </w:rPr>
              <w:t>0a</w:t>
            </w:r>
          </w:p>
        </w:tc>
        <w:tc>
          <w:tcPr>
            <w:tcW w:w="3422" w:type="dxa"/>
            <w:tcBorders>
              <w:left w:val="nil"/>
            </w:tcBorders>
            <w:shd w:val="clear" w:color="auto" w:fill="auto"/>
            <w:vAlign w:val="center"/>
          </w:tcPr>
          <w:p w:rsidRPr="003258D6" w:rsidR="00606426" w:rsidP="007935BE" w:rsidRDefault="00606426" w14:paraId="2691B655" w14:textId="77777777">
            <w:pPr>
              <w:mirrorIndents/>
              <w:rPr>
                <w:rFonts w:ascii="Segoe UI" w:hAnsi="Segoe UI" w:cs="Segoe UI"/>
                <w:b/>
                <w:color w:val="FFFFFF" w:themeColor="background1"/>
                <w:sz w:val="16"/>
                <w:szCs w:val="16"/>
              </w:rPr>
            </w:pPr>
            <w:r w:rsidRPr="00C82ED8">
              <w:rPr>
                <w:rFonts w:ascii="Segoe UI" w:hAnsi="Segoe UI" w:cs="Segoe UI"/>
                <w:sz w:val="16"/>
              </w:rPr>
              <w:t>Avvii di carri</w:t>
            </w:r>
            <w:r>
              <w:rPr>
                <w:rFonts w:ascii="Segoe UI" w:hAnsi="Segoe UI" w:cs="Segoe UI"/>
                <w:sz w:val="16"/>
              </w:rPr>
              <w:t xml:space="preserve">era al primo anno </w:t>
            </w:r>
            <w:r w:rsidRPr="00901AEB">
              <w:rPr>
                <w:rFonts w:ascii="Segoe UI" w:hAnsi="Segoe UI" w:cs="Segoe UI"/>
                <w:sz w:val="16"/>
              </w:rPr>
              <w:t>(L; LMCU; LM)</w:t>
            </w:r>
          </w:p>
        </w:tc>
        <w:tc>
          <w:tcPr>
            <w:tcW w:w="435" w:type="dxa"/>
            <w:vAlign w:val="center"/>
          </w:tcPr>
          <w:p w:rsidRPr="009C32A8" w:rsidR="00606426" w:rsidP="007935BE" w:rsidRDefault="00606426" w14:paraId="3F0CB11F" w14:textId="3173A35E">
            <w:pPr>
              <w:mirrorIndents/>
              <w:jc w:val="center"/>
              <w:rPr>
                <w:rFonts w:ascii="Segoe UI" w:hAnsi="Segoe UI" w:cs="Segoe UI"/>
                <w:b/>
                <w:sz w:val="24"/>
              </w:rPr>
            </w:pPr>
            <w:r>
              <w:rPr>
                <w:rFonts w:ascii="Segoe UI" w:hAnsi="Segoe UI" w:cs="Segoe UI"/>
                <w:b/>
                <w:sz w:val="24"/>
              </w:rPr>
              <w:t>X</w:t>
            </w:r>
          </w:p>
        </w:tc>
        <w:tc>
          <w:tcPr>
            <w:tcW w:w="435" w:type="dxa"/>
            <w:vAlign w:val="center"/>
          </w:tcPr>
          <w:p w:rsidRPr="009C32A8" w:rsidR="00606426" w:rsidP="007935BE" w:rsidRDefault="00606426" w14:paraId="64F3CEB9" w14:textId="77777777">
            <w:pPr>
              <w:mirrorIndents/>
              <w:jc w:val="center"/>
              <w:rPr>
                <w:rFonts w:ascii="Segoe UI" w:hAnsi="Segoe UI" w:cs="Segoe UI"/>
                <w:b/>
                <w:sz w:val="24"/>
              </w:rPr>
            </w:pPr>
          </w:p>
        </w:tc>
      </w:tr>
      <w:tr w:rsidR="00606426" w:rsidTr="007935BE" w14:paraId="2115C615" w14:textId="77777777">
        <w:trPr>
          <w:trHeight w:val="425"/>
          <w:jc w:val="center"/>
        </w:trPr>
        <w:tc>
          <w:tcPr>
            <w:tcW w:w="856" w:type="dxa"/>
            <w:tcBorders>
              <w:right w:val="nil"/>
            </w:tcBorders>
            <w:shd w:val="clear" w:color="auto" w:fill="auto"/>
            <w:vAlign w:val="center"/>
          </w:tcPr>
          <w:p w:rsidRPr="003258D6" w:rsidR="00606426" w:rsidP="007935BE" w:rsidRDefault="00606426" w14:paraId="73F57975" w14:textId="77777777">
            <w:pPr>
              <w:mirrorIndents/>
              <w:jc w:val="center"/>
              <w:rPr>
                <w:rFonts w:ascii="Segoe UI" w:hAnsi="Segoe UI" w:cs="Segoe UI"/>
                <w:b/>
                <w:color w:val="FFFFFF" w:themeColor="background1"/>
                <w:sz w:val="16"/>
                <w:szCs w:val="16"/>
              </w:rPr>
            </w:pPr>
            <w:r w:rsidRPr="00994E65">
              <w:rPr>
                <w:rFonts w:ascii="Segoe UI" w:hAnsi="Segoe UI" w:cs="Segoe UI"/>
                <w:sz w:val="16"/>
              </w:rPr>
              <w:t>iC0</w:t>
            </w:r>
            <w:r>
              <w:rPr>
                <w:rFonts w:ascii="Segoe UI" w:hAnsi="Segoe UI" w:cs="Segoe UI"/>
                <w:sz w:val="16"/>
              </w:rPr>
              <w:t>0b</w:t>
            </w:r>
          </w:p>
        </w:tc>
        <w:tc>
          <w:tcPr>
            <w:tcW w:w="3422" w:type="dxa"/>
            <w:tcBorders>
              <w:left w:val="nil"/>
            </w:tcBorders>
            <w:shd w:val="clear" w:color="auto" w:fill="auto"/>
            <w:vAlign w:val="center"/>
          </w:tcPr>
          <w:p w:rsidRPr="003258D6" w:rsidR="00606426" w:rsidP="007935BE" w:rsidRDefault="00606426" w14:paraId="2B417F35" w14:textId="77777777">
            <w:pPr>
              <w:mirrorIndents/>
              <w:rPr>
                <w:rFonts w:ascii="Segoe UI" w:hAnsi="Segoe UI" w:cs="Segoe UI"/>
                <w:b/>
                <w:color w:val="FFFFFF" w:themeColor="background1"/>
                <w:sz w:val="16"/>
                <w:szCs w:val="16"/>
              </w:rPr>
            </w:pPr>
            <w:r>
              <w:rPr>
                <w:rFonts w:ascii="Segoe UI" w:hAnsi="Segoe UI" w:cs="Segoe UI"/>
                <w:sz w:val="16"/>
              </w:rPr>
              <w:t>Immatricolati puri (L; LMCU</w:t>
            </w:r>
            <w:r w:rsidRPr="00901AEB">
              <w:rPr>
                <w:rFonts w:ascii="Segoe UI" w:hAnsi="Segoe UI" w:cs="Segoe UI"/>
                <w:sz w:val="16"/>
              </w:rPr>
              <w:t>)</w:t>
            </w:r>
          </w:p>
        </w:tc>
        <w:tc>
          <w:tcPr>
            <w:tcW w:w="435" w:type="dxa"/>
            <w:vAlign w:val="center"/>
          </w:tcPr>
          <w:p w:rsidRPr="009C32A8" w:rsidR="00606426" w:rsidP="007935BE" w:rsidRDefault="00606426" w14:paraId="0AB9D7EB" w14:textId="3D969948">
            <w:pPr>
              <w:mirrorIndents/>
              <w:jc w:val="center"/>
              <w:rPr>
                <w:rFonts w:ascii="Segoe UI" w:hAnsi="Segoe UI" w:cs="Segoe UI"/>
                <w:b/>
                <w:sz w:val="24"/>
              </w:rPr>
            </w:pPr>
          </w:p>
        </w:tc>
        <w:tc>
          <w:tcPr>
            <w:tcW w:w="435" w:type="dxa"/>
            <w:vAlign w:val="center"/>
          </w:tcPr>
          <w:p w:rsidRPr="009C32A8" w:rsidR="00606426" w:rsidP="007935BE" w:rsidRDefault="00606426" w14:paraId="169D06AD" w14:textId="77777777">
            <w:pPr>
              <w:mirrorIndents/>
              <w:jc w:val="center"/>
              <w:rPr>
                <w:rFonts w:ascii="Segoe UI" w:hAnsi="Segoe UI" w:cs="Segoe UI"/>
                <w:b/>
                <w:sz w:val="24"/>
              </w:rPr>
            </w:pPr>
          </w:p>
        </w:tc>
      </w:tr>
      <w:tr w:rsidR="00606426" w:rsidTr="007935BE" w14:paraId="358A2C23" w14:textId="77777777">
        <w:trPr>
          <w:trHeight w:val="425"/>
          <w:jc w:val="center"/>
        </w:trPr>
        <w:tc>
          <w:tcPr>
            <w:tcW w:w="856" w:type="dxa"/>
            <w:tcBorders>
              <w:right w:val="nil"/>
            </w:tcBorders>
            <w:shd w:val="clear" w:color="auto" w:fill="auto"/>
            <w:vAlign w:val="center"/>
          </w:tcPr>
          <w:p w:rsidRPr="003258D6" w:rsidR="00606426" w:rsidP="007935BE" w:rsidRDefault="00606426" w14:paraId="5B5CE60C" w14:textId="77777777">
            <w:pPr>
              <w:mirrorIndents/>
              <w:jc w:val="center"/>
              <w:rPr>
                <w:rFonts w:ascii="Segoe UI" w:hAnsi="Segoe UI" w:cs="Segoe UI"/>
                <w:b/>
                <w:color w:val="FFFFFF" w:themeColor="background1"/>
                <w:sz w:val="16"/>
                <w:szCs w:val="16"/>
              </w:rPr>
            </w:pPr>
            <w:r w:rsidRPr="00994E65">
              <w:rPr>
                <w:rFonts w:ascii="Segoe UI" w:hAnsi="Segoe UI" w:cs="Segoe UI"/>
                <w:sz w:val="16"/>
              </w:rPr>
              <w:t>iC0</w:t>
            </w:r>
            <w:r>
              <w:rPr>
                <w:rFonts w:ascii="Segoe UI" w:hAnsi="Segoe UI" w:cs="Segoe UI"/>
                <w:sz w:val="16"/>
              </w:rPr>
              <w:t>0c</w:t>
            </w:r>
          </w:p>
        </w:tc>
        <w:tc>
          <w:tcPr>
            <w:tcW w:w="3422" w:type="dxa"/>
            <w:tcBorders>
              <w:left w:val="nil"/>
            </w:tcBorders>
            <w:shd w:val="clear" w:color="auto" w:fill="auto"/>
            <w:vAlign w:val="center"/>
          </w:tcPr>
          <w:p w:rsidRPr="003258D6" w:rsidR="00606426" w:rsidP="007935BE" w:rsidRDefault="00606426" w14:paraId="15F25312" w14:textId="77777777">
            <w:pPr>
              <w:mirrorIndents/>
              <w:rPr>
                <w:rFonts w:ascii="Segoe UI" w:hAnsi="Segoe UI" w:cs="Segoe UI"/>
                <w:b/>
                <w:color w:val="FFFFFF" w:themeColor="background1"/>
                <w:sz w:val="16"/>
                <w:szCs w:val="16"/>
              </w:rPr>
            </w:pPr>
            <w:r w:rsidRPr="00C82ED8">
              <w:rPr>
                <w:rFonts w:ascii="Segoe UI" w:hAnsi="Segoe UI" w:cs="Segoe UI"/>
                <w:sz w:val="16"/>
              </w:rPr>
              <w:t>Iscritti per la prima volta a LM</w:t>
            </w:r>
            <w:r>
              <w:rPr>
                <w:rFonts w:ascii="Segoe UI" w:hAnsi="Segoe UI" w:cs="Segoe UI"/>
                <w:sz w:val="16"/>
              </w:rPr>
              <w:t xml:space="preserve"> (LM)</w:t>
            </w:r>
          </w:p>
        </w:tc>
        <w:tc>
          <w:tcPr>
            <w:tcW w:w="435" w:type="dxa"/>
            <w:vAlign w:val="center"/>
          </w:tcPr>
          <w:p w:rsidRPr="009C32A8" w:rsidR="00606426" w:rsidP="007935BE" w:rsidRDefault="00606426" w14:paraId="0C69A4EC" w14:textId="77777777">
            <w:pPr>
              <w:mirrorIndents/>
              <w:jc w:val="center"/>
              <w:rPr>
                <w:rFonts w:ascii="Segoe UI" w:hAnsi="Segoe UI" w:cs="Segoe UI"/>
                <w:b/>
                <w:sz w:val="24"/>
              </w:rPr>
            </w:pPr>
          </w:p>
        </w:tc>
        <w:tc>
          <w:tcPr>
            <w:tcW w:w="435" w:type="dxa"/>
            <w:vAlign w:val="center"/>
          </w:tcPr>
          <w:p w:rsidRPr="009C32A8" w:rsidR="00606426" w:rsidP="007935BE" w:rsidRDefault="00606426" w14:paraId="4BE89ADF" w14:textId="77777777">
            <w:pPr>
              <w:mirrorIndents/>
              <w:jc w:val="center"/>
              <w:rPr>
                <w:rFonts w:ascii="Segoe UI" w:hAnsi="Segoe UI" w:cs="Segoe UI"/>
                <w:b/>
                <w:sz w:val="24"/>
              </w:rPr>
            </w:pPr>
          </w:p>
        </w:tc>
      </w:tr>
      <w:tr w:rsidR="00606426" w:rsidTr="007935BE" w14:paraId="1FA85527" w14:textId="77777777">
        <w:trPr>
          <w:trHeight w:val="425"/>
          <w:jc w:val="center"/>
        </w:trPr>
        <w:tc>
          <w:tcPr>
            <w:tcW w:w="856" w:type="dxa"/>
            <w:tcBorders>
              <w:right w:val="nil"/>
            </w:tcBorders>
            <w:shd w:val="clear" w:color="auto" w:fill="auto"/>
            <w:vAlign w:val="center"/>
          </w:tcPr>
          <w:p w:rsidRPr="003258D6" w:rsidR="00606426" w:rsidP="007935BE" w:rsidRDefault="00606426" w14:paraId="10CC0D5D" w14:textId="77777777">
            <w:pPr>
              <w:mirrorIndents/>
              <w:jc w:val="center"/>
              <w:rPr>
                <w:rFonts w:ascii="Segoe UI" w:hAnsi="Segoe UI" w:cs="Segoe UI"/>
                <w:b/>
                <w:color w:val="FFFFFF" w:themeColor="background1"/>
                <w:sz w:val="16"/>
                <w:szCs w:val="16"/>
              </w:rPr>
            </w:pPr>
            <w:r w:rsidRPr="00994E65">
              <w:rPr>
                <w:rFonts w:ascii="Segoe UI" w:hAnsi="Segoe UI" w:cs="Segoe UI"/>
                <w:sz w:val="16"/>
              </w:rPr>
              <w:t>iC0</w:t>
            </w:r>
            <w:r>
              <w:rPr>
                <w:rFonts w:ascii="Segoe UI" w:hAnsi="Segoe UI" w:cs="Segoe UI"/>
                <w:sz w:val="16"/>
              </w:rPr>
              <w:t>0d</w:t>
            </w:r>
          </w:p>
        </w:tc>
        <w:tc>
          <w:tcPr>
            <w:tcW w:w="3422" w:type="dxa"/>
            <w:tcBorders>
              <w:left w:val="nil"/>
            </w:tcBorders>
            <w:shd w:val="clear" w:color="auto" w:fill="auto"/>
            <w:vAlign w:val="center"/>
          </w:tcPr>
          <w:p w:rsidRPr="003258D6" w:rsidR="00606426" w:rsidP="007935BE" w:rsidRDefault="00606426" w14:paraId="7F2969AB" w14:textId="77777777">
            <w:pPr>
              <w:mirrorIndents/>
              <w:rPr>
                <w:rFonts w:ascii="Segoe UI" w:hAnsi="Segoe UI" w:cs="Segoe UI"/>
                <w:b/>
                <w:color w:val="FFFFFF" w:themeColor="background1"/>
                <w:sz w:val="16"/>
                <w:szCs w:val="16"/>
              </w:rPr>
            </w:pPr>
            <w:r>
              <w:rPr>
                <w:rFonts w:ascii="Segoe UI" w:hAnsi="Segoe UI" w:cs="Segoe UI"/>
                <w:sz w:val="16"/>
              </w:rPr>
              <w:t xml:space="preserve">Iscritti </w:t>
            </w:r>
            <w:r w:rsidRPr="00901AEB">
              <w:rPr>
                <w:rFonts w:ascii="Segoe UI" w:hAnsi="Segoe UI" w:cs="Segoe UI"/>
                <w:sz w:val="16"/>
              </w:rPr>
              <w:t>(L; LMCU; LM)</w:t>
            </w:r>
          </w:p>
        </w:tc>
        <w:tc>
          <w:tcPr>
            <w:tcW w:w="435" w:type="dxa"/>
            <w:vAlign w:val="center"/>
          </w:tcPr>
          <w:p w:rsidRPr="009C32A8" w:rsidR="00606426" w:rsidP="007935BE" w:rsidRDefault="00606426" w14:paraId="72C7D0DC" w14:textId="4332EE1C">
            <w:pPr>
              <w:mirrorIndents/>
              <w:jc w:val="center"/>
              <w:rPr>
                <w:rFonts w:ascii="Segoe UI" w:hAnsi="Segoe UI" w:cs="Segoe UI"/>
                <w:b/>
                <w:sz w:val="24"/>
              </w:rPr>
            </w:pPr>
            <w:r>
              <w:rPr>
                <w:rFonts w:ascii="Segoe UI" w:hAnsi="Segoe UI" w:cs="Segoe UI"/>
                <w:b/>
                <w:sz w:val="24"/>
              </w:rPr>
              <w:t>X</w:t>
            </w:r>
          </w:p>
        </w:tc>
        <w:tc>
          <w:tcPr>
            <w:tcW w:w="435" w:type="dxa"/>
            <w:vAlign w:val="center"/>
          </w:tcPr>
          <w:p w:rsidRPr="009C32A8" w:rsidR="00606426" w:rsidP="007935BE" w:rsidRDefault="00606426" w14:paraId="76A47EFB" w14:textId="77777777">
            <w:pPr>
              <w:mirrorIndents/>
              <w:jc w:val="center"/>
              <w:rPr>
                <w:rFonts w:ascii="Segoe UI" w:hAnsi="Segoe UI" w:cs="Segoe UI"/>
                <w:b/>
                <w:sz w:val="24"/>
              </w:rPr>
            </w:pPr>
          </w:p>
        </w:tc>
      </w:tr>
      <w:tr w:rsidR="00606426" w:rsidTr="007935BE" w14:paraId="5041DACD" w14:textId="77777777">
        <w:trPr>
          <w:trHeight w:val="425"/>
          <w:jc w:val="center"/>
        </w:trPr>
        <w:tc>
          <w:tcPr>
            <w:tcW w:w="856" w:type="dxa"/>
            <w:tcBorders>
              <w:right w:val="nil"/>
            </w:tcBorders>
            <w:shd w:val="clear" w:color="auto" w:fill="auto"/>
            <w:vAlign w:val="center"/>
          </w:tcPr>
          <w:p w:rsidRPr="003258D6" w:rsidR="00606426" w:rsidP="007935BE" w:rsidRDefault="00606426" w14:paraId="17D77749" w14:textId="77777777">
            <w:pPr>
              <w:mirrorIndents/>
              <w:jc w:val="center"/>
              <w:rPr>
                <w:rFonts w:ascii="Segoe UI" w:hAnsi="Segoe UI" w:cs="Segoe UI"/>
                <w:b/>
                <w:color w:val="FFFFFF" w:themeColor="background1"/>
                <w:sz w:val="16"/>
                <w:szCs w:val="16"/>
              </w:rPr>
            </w:pPr>
            <w:r w:rsidRPr="00994E65">
              <w:rPr>
                <w:rFonts w:ascii="Segoe UI" w:hAnsi="Segoe UI" w:cs="Segoe UI"/>
                <w:sz w:val="16"/>
              </w:rPr>
              <w:t>iC0</w:t>
            </w:r>
            <w:r>
              <w:rPr>
                <w:rFonts w:ascii="Segoe UI" w:hAnsi="Segoe UI" w:cs="Segoe UI"/>
                <w:sz w:val="16"/>
              </w:rPr>
              <w:t>0e</w:t>
            </w:r>
          </w:p>
        </w:tc>
        <w:tc>
          <w:tcPr>
            <w:tcW w:w="3422" w:type="dxa"/>
            <w:tcBorders>
              <w:left w:val="nil"/>
            </w:tcBorders>
            <w:shd w:val="clear" w:color="auto" w:fill="auto"/>
            <w:vAlign w:val="center"/>
          </w:tcPr>
          <w:p w:rsidRPr="003258D6" w:rsidR="00606426" w:rsidP="007935BE" w:rsidRDefault="00606426" w14:paraId="4007F540" w14:textId="77777777">
            <w:pPr>
              <w:mirrorIndents/>
              <w:rPr>
                <w:rFonts w:ascii="Segoe UI" w:hAnsi="Segoe UI" w:cs="Segoe UI"/>
                <w:b/>
                <w:color w:val="FFFFFF" w:themeColor="background1"/>
                <w:sz w:val="16"/>
                <w:szCs w:val="16"/>
              </w:rPr>
            </w:pPr>
            <w:r w:rsidRPr="00C82ED8">
              <w:rPr>
                <w:rFonts w:ascii="Segoe UI" w:hAnsi="Segoe UI" w:cs="Segoe UI"/>
                <w:sz w:val="16"/>
              </w:rPr>
              <w:t>Iscritti Regolar</w:t>
            </w:r>
            <w:r>
              <w:rPr>
                <w:rFonts w:ascii="Segoe UI" w:hAnsi="Segoe UI" w:cs="Segoe UI"/>
                <w:sz w:val="16"/>
              </w:rPr>
              <w:t xml:space="preserve">i ai fini del costo standard </w:t>
            </w:r>
            <w:r w:rsidRPr="00901AEB">
              <w:rPr>
                <w:rFonts w:ascii="Segoe UI" w:hAnsi="Segoe UI" w:cs="Segoe UI"/>
                <w:sz w:val="16"/>
              </w:rPr>
              <w:t>(L; LMCU; LM)</w:t>
            </w:r>
          </w:p>
        </w:tc>
        <w:tc>
          <w:tcPr>
            <w:tcW w:w="435" w:type="dxa"/>
            <w:vAlign w:val="center"/>
          </w:tcPr>
          <w:p w:rsidRPr="009C32A8" w:rsidR="00606426" w:rsidP="007935BE" w:rsidRDefault="00606426" w14:paraId="0C5867E7" w14:textId="77777777">
            <w:pPr>
              <w:mirrorIndents/>
              <w:jc w:val="center"/>
              <w:rPr>
                <w:rFonts w:ascii="Segoe UI" w:hAnsi="Segoe UI" w:cs="Segoe UI"/>
                <w:b/>
                <w:sz w:val="24"/>
              </w:rPr>
            </w:pPr>
          </w:p>
        </w:tc>
        <w:tc>
          <w:tcPr>
            <w:tcW w:w="435" w:type="dxa"/>
            <w:vAlign w:val="center"/>
          </w:tcPr>
          <w:p w:rsidRPr="009C32A8" w:rsidR="00606426" w:rsidP="007935BE" w:rsidRDefault="00606426" w14:paraId="3696BF9E" w14:textId="77777777">
            <w:pPr>
              <w:mirrorIndents/>
              <w:jc w:val="center"/>
              <w:rPr>
                <w:rFonts w:ascii="Segoe UI" w:hAnsi="Segoe UI" w:cs="Segoe UI"/>
                <w:b/>
                <w:sz w:val="24"/>
              </w:rPr>
            </w:pPr>
          </w:p>
        </w:tc>
      </w:tr>
      <w:tr w:rsidR="00606426" w:rsidTr="007935BE" w14:paraId="0292C4C1" w14:textId="77777777">
        <w:trPr>
          <w:trHeight w:val="425"/>
          <w:jc w:val="center"/>
        </w:trPr>
        <w:tc>
          <w:tcPr>
            <w:tcW w:w="856" w:type="dxa"/>
            <w:tcBorders>
              <w:right w:val="nil"/>
            </w:tcBorders>
            <w:shd w:val="clear" w:color="auto" w:fill="auto"/>
            <w:vAlign w:val="center"/>
          </w:tcPr>
          <w:p w:rsidRPr="003258D6" w:rsidR="00606426" w:rsidP="007935BE" w:rsidRDefault="00606426" w14:paraId="0973D27A" w14:textId="77777777">
            <w:pPr>
              <w:mirrorIndents/>
              <w:jc w:val="center"/>
              <w:rPr>
                <w:rFonts w:ascii="Segoe UI" w:hAnsi="Segoe UI" w:cs="Segoe UI"/>
                <w:b/>
                <w:color w:val="FFFFFF" w:themeColor="background1"/>
                <w:sz w:val="16"/>
                <w:szCs w:val="16"/>
              </w:rPr>
            </w:pPr>
            <w:r w:rsidRPr="00994E65">
              <w:rPr>
                <w:rFonts w:ascii="Segoe UI" w:hAnsi="Segoe UI" w:cs="Segoe UI"/>
                <w:sz w:val="16"/>
              </w:rPr>
              <w:t>iC0</w:t>
            </w:r>
            <w:r>
              <w:rPr>
                <w:rFonts w:ascii="Segoe UI" w:hAnsi="Segoe UI" w:cs="Segoe UI"/>
                <w:sz w:val="16"/>
              </w:rPr>
              <w:t>0f</w:t>
            </w:r>
          </w:p>
        </w:tc>
        <w:tc>
          <w:tcPr>
            <w:tcW w:w="3422" w:type="dxa"/>
            <w:tcBorders>
              <w:left w:val="nil"/>
            </w:tcBorders>
            <w:shd w:val="clear" w:color="auto" w:fill="auto"/>
            <w:vAlign w:val="center"/>
          </w:tcPr>
          <w:p w:rsidRPr="003258D6" w:rsidR="00606426" w:rsidP="007935BE" w:rsidRDefault="00606426" w14:paraId="3B5E4A4B" w14:textId="77777777">
            <w:pPr>
              <w:mirrorIndents/>
              <w:rPr>
                <w:rFonts w:ascii="Segoe UI" w:hAnsi="Segoe UI" w:cs="Segoe UI"/>
                <w:b/>
                <w:color w:val="FFFFFF" w:themeColor="background1"/>
                <w:sz w:val="16"/>
                <w:szCs w:val="16"/>
              </w:rPr>
            </w:pPr>
            <w:r w:rsidRPr="00C82ED8">
              <w:rPr>
                <w:rFonts w:ascii="Segoe UI" w:hAnsi="Segoe UI" w:cs="Segoe UI"/>
                <w:sz w:val="16"/>
              </w:rPr>
              <w:t>Iscr</w:t>
            </w:r>
            <w:r>
              <w:rPr>
                <w:rFonts w:ascii="Segoe UI" w:hAnsi="Segoe UI" w:cs="Segoe UI"/>
                <w:sz w:val="16"/>
              </w:rPr>
              <w:t xml:space="preserve">itti Regolari ai fini del CSTD, </w:t>
            </w:r>
            <w:r w:rsidRPr="00C82ED8">
              <w:rPr>
                <w:rFonts w:ascii="Segoe UI" w:hAnsi="Segoe UI" w:cs="Segoe UI"/>
                <w:sz w:val="16"/>
              </w:rPr>
              <w:t>immatric</w:t>
            </w:r>
            <w:r>
              <w:rPr>
                <w:rFonts w:ascii="Segoe UI" w:hAnsi="Segoe UI" w:cs="Segoe UI"/>
                <w:sz w:val="16"/>
              </w:rPr>
              <w:t xml:space="preserve">olati puri al </w:t>
            </w:r>
            <w:proofErr w:type="spellStart"/>
            <w:r>
              <w:rPr>
                <w:rFonts w:ascii="Segoe UI" w:hAnsi="Segoe UI" w:cs="Segoe UI"/>
                <w:sz w:val="16"/>
              </w:rPr>
              <w:t>CdS</w:t>
            </w:r>
            <w:proofErr w:type="spellEnd"/>
            <w:r>
              <w:rPr>
                <w:rFonts w:ascii="Segoe UI" w:hAnsi="Segoe UI" w:cs="Segoe UI"/>
                <w:sz w:val="16"/>
              </w:rPr>
              <w:t xml:space="preserve"> in oggetto </w:t>
            </w:r>
            <w:r w:rsidRPr="00901AEB">
              <w:rPr>
                <w:rFonts w:ascii="Segoe UI" w:hAnsi="Segoe UI" w:cs="Segoe UI"/>
                <w:sz w:val="16"/>
              </w:rPr>
              <w:t>(L; LMCU; LM)</w:t>
            </w:r>
          </w:p>
        </w:tc>
        <w:tc>
          <w:tcPr>
            <w:tcW w:w="435" w:type="dxa"/>
            <w:vAlign w:val="center"/>
          </w:tcPr>
          <w:p w:rsidRPr="009C32A8" w:rsidR="00606426" w:rsidP="007935BE" w:rsidRDefault="00606426" w14:paraId="2B54ED06" w14:textId="77777777">
            <w:pPr>
              <w:mirrorIndents/>
              <w:jc w:val="center"/>
              <w:rPr>
                <w:rFonts w:ascii="Segoe UI" w:hAnsi="Segoe UI" w:cs="Segoe UI"/>
                <w:b/>
                <w:sz w:val="24"/>
              </w:rPr>
            </w:pPr>
          </w:p>
        </w:tc>
        <w:tc>
          <w:tcPr>
            <w:tcW w:w="435" w:type="dxa"/>
            <w:vAlign w:val="center"/>
          </w:tcPr>
          <w:p w:rsidRPr="009C32A8" w:rsidR="00606426" w:rsidP="007935BE" w:rsidRDefault="00606426" w14:paraId="7415C77C" w14:textId="77777777">
            <w:pPr>
              <w:mirrorIndents/>
              <w:jc w:val="center"/>
              <w:rPr>
                <w:rFonts w:ascii="Segoe UI" w:hAnsi="Segoe UI" w:cs="Segoe UI"/>
                <w:b/>
                <w:sz w:val="24"/>
              </w:rPr>
            </w:pPr>
          </w:p>
        </w:tc>
      </w:tr>
      <w:tr w:rsidR="00606426" w:rsidTr="007935BE" w14:paraId="3B5BA206" w14:textId="77777777">
        <w:trPr>
          <w:trHeight w:val="425"/>
          <w:jc w:val="center"/>
        </w:trPr>
        <w:tc>
          <w:tcPr>
            <w:tcW w:w="856" w:type="dxa"/>
            <w:tcBorders>
              <w:right w:val="nil"/>
            </w:tcBorders>
            <w:shd w:val="clear" w:color="auto" w:fill="auto"/>
            <w:vAlign w:val="center"/>
          </w:tcPr>
          <w:p w:rsidRPr="00994E65" w:rsidR="00606426" w:rsidP="007935BE" w:rsidRDefault="00606426" w14:paraId="5392D862" w14:textId="77777777">
            <w:pPr>
              <w:mirrorIndents/>
              <w:jc w:val="center"/>
              <w:rPr>
                <w:rFonts w:ascii="Segoe UI" w:hAnsi="Segoe UI" w:cs="Segoe UI"/>
                <w:sz w:val="16"/>
              </w:rPr>
            </w:pPr>
            <w:r>
              <w:rPr>
                <w:rFonts w:ascii="Segoe UI" w:hAnsi="Segoe UI" w:cs="Segoe UI"/>
                <w:sz w:val="16"/>
              </w:rPr>
              <w:t>iC00g</w:t>
            </w:r>
          </w:p>
        </w:tc>
        <w:tc>
          <w:tcPr>
            <w:tcW w:w="3422" w:type="dxa"/>
            <w:tcBorders>
              <w:left w:val="nil"/>
            </w:tcBorders>
            <w:shd w:val="clear" w:color="auto" w:fill="auto"/>
            <w:vAlign w:val="center"/>
          </w:tcPr>
          <w:p w:rsidRPr="00C82ED8" w:rsidR="00606426" w:rsidP="007935BE" w:rsidRDefault="00606426" w14:paraId="43841141" w14:textId="77777777">
            <w:pPr>
              <w:mirrorIndents/>
              <w:rPr>
                <w:rFonts w:ascii="Segoe UI" w:hAnsi="Segoe UI" w:cs="Segoe UI"/>
                <w:sz w:val="16"/>
              </w:rPr>
            </w:pPr>
            <w:r>
              <w:rPr>
                <w:rFonts w:ascii="Segoe UI" w:hAnsi="Segoe UI" w:cs="Segoe UI"/>
                <w:sz w:val="16"/>
              </w:rPr>
              <w:t>L</w:t>
            </w:r>
            <w:r w:rsidRPr="00EC3FB1">
              <w:rPr>
                <w:rFonts w:ascii="Segoe UI" w:hAnsi="Segoe UI" w:cs="Segoe UI"/>
                <w:sz w:val="16"/>
              </w:rPr>
              <w:t>aureati (L; LM; LMCU) entro la durata normale del corso</w:t>
            </w:r>
          </w:p>
        </w:tc>
        <w:tc>
          <w:tcPr>
            <w:tcW w:w="435" w:type="dxa"/>
            <w:vAlign w:val="center"/>
          </w:tcPr>
          <w:p w:rsidRPr="009C32A8" w:rsidR="00606426" w:rsidP="007935BE" w:rsidRDefault="00606426" w14:paraId="3C96B970" w14:textId="77777777">
            <w:pPr>
              <w:mirrorIndents/>
              <w:jc w:val="center"/>
              <w:rPr>
                <w:rFonts w:ascii="Segoe UI" w:hAnsi="Segoe UI" w:cs="Segoe UI"/>
                <w:b/>
                <w:sz w:val="24"/>
              </w:rPr>
            </w:pPr>
          </w:p>
        </w:tc>
        <w:tc>
          <w:tcPr>
            <w:tcW w:w="435" w:type="dxa"/>
            <w:vAlign w:val="center"/>
          </w:tcPr>
          <w:p w:rsidRPr="009C32A8" w:rsidR="00606426" w:rsidP="007935BE" w:rsidRDefault="00606426" w14:paraId="7D54DAD2" w14:textId="77777777">
            <w:pPr>
              <w:mirrorIndents/>
              <w:jc w:val="center"/>
              <w:rPr>
                <w:rFonts w:ascii="Segoe UI" w:hAnsi="Segoe UI" w:cs="Segoe UI"/>
                <w:b/>
                <w:sz w:val="24"/>
              </w:rPr>
            </w:pPr>
          </w:p>
        </w:tc>
      </w:tr>
      <w:tr w:rsidR="00606426" w:rsidTr="007935BE" w14:paraId="1A2F79F7" w14:textId="77777777">
        <w:trPr>
          <w:trHeight w:val="425"/>
          <w:jc w:val="center"/>
        </w:trPr>
        <w:tc>
          <w:tcPr>
            <w:tcW w:w="856" w:type="dxa"/>
            <w:tcBorders>
              <w:right w:val="nil"/>
            </w:tcBorders>
            <w:shd w:val="clear" w:color="auto" w:fill="auto"/>
            <w:vAlign w:val="center"/>
          </w:tcPr>
          <w:p w:rsidRPr="00994E65" w:rsidR="00606426" w:rsidP="007935BE" w:rsidRDefault="00606426" w14:paraId="4563A435" w14:textId="77777777">
            <w:pPr>
              <w:mirrorIndents/>
              <w:jc w:val="center"/>
              <w:rPr>
                <w:rFonts w:ascii="Segoe UI" w:hAnsi="Segoe UI" w:cs="Segoe UI"/>
                <w:sz w:val="16"/>
              </w:rPr>
            </w:pPr>
            <w:r>
              <w:rPr>
                <w:rFonts w:ascii="Segoe UI" w:hAnsi="Segoe UI" w:cs="Segoe UI"/>
                <w:sz w:val="16"/>
              </w:rPr>
              <w:t>iC00h</w:t>
            </w:r>
          </w:p>
        </w:tc>
        <w:tc>
          <w:tcPr>
            <w:tcW w:w="3422" w:type="dxa"/>
            <w:tcBorders>
              <w:left w:val="nil"/>
            </w:tcBorders>
            <w:shd w:val="clear" w:color="auto" w:fill="auto"/>
            <w:vAlign w:val="center"/>
          </w:tcPr>
          <w:p w:rsidRPr="00C82ED8" w:rsidR="00606426" w:rsidP="007935BE" w:rsidRDefault="00606426" w14:paraId="1A9F71E7" w14:textId="77777777">
            <w:pPr>
              <w:mirrorIndents/>
              <w:rPr>
                <w:rFonts w:ascii="Segoe UI" w:hAnsi="Segoe UI" w:cs="Segoe UI"/>
                <w:sz w:val="16"/>
              </w:rPr>
            </w:pPr>
            <w:r>
              <w:rPr>
                <w:rFonts w:ascii="Segoe UI" w:hAnsi="Segoe UI" w:cs="Segoe UI"/>
                <w:sz w:val="16"/>
              </w:rPr>
              <w:t>L</w:t>
            </w:r>
            <w:r w:rsidRPr="00FA7430">
              <w:rPr>
                <w:rFonts w:ascii="Segoe UI" w:hAnsi="Segoe UI" w:cs="Segoe UI"/>
                <w:sz w:val="16"/>
              </w:rPr>
              <w:t>aureati (L; LM; LMCU)</w:t>
            </w:r>
          </w:p>
        </w:tc>
        <w:tc>
          <w:tcPr>
            <w:tcW w:w="435" w:type="dxa"/>
            <w:vAlign w:val="center"/>
          </w:tcPr>
          <w:p w:rsidRPr="009C32A8" w:rsidR="00606426" w:rsidP="007935BE" w:rsidRDefault="000933EA" w14:paraId="71E16CED" w14:textId="63D72A4D">
            <w:pPr>
              <w:mirrorIndents/>
              <w:jc w:val="center"/>
              <w:rPr>
                <w:rFonts w:ascii="Segoe UI" w:hAnsi="Segoe UI" w:cs="Segoe UI"/>
                <w:b/>
                <w:sz w:val="24"/>
              </w:rPr>
            </w:pPr>
            <w:r>
              <w:rPr>
                <w:rFonts w:ascii="Segoe UI" w:hAnsi="Segoe UI" w:cs="Segoe UI"/>
                <w:b/>
                <w:sz w:val="24"/>
              </w:rPr>
              <w:t>X</w:t>
            </w:r>
          </w:p>
        </w:tc>
        <w:tc>
          <w:tcPr>
            <w:tcW w:w="435" w:type="dxa"/>
            <w:vAlign w:val="center"/>
          </w:tcPr>
          <w:p w:rsidRPr="009C32A8" w:rsidR="00606426" w:rsidP="007935BE" w:rsidRDefault="00606426" w14:paraId="701CC145" w14:textId="77777777">
            <w:pPr>
              <w:mirrorIndents/>
              <w:jc w:val="center"/>
              <w:rPr>
                <w:rFonts w:ascii="Segoe UI" w:hAnsi="Segoe UI" w:cs="Segoe UI"/>
                <w:b/>
                <w:sz w:val="24"/>
              </w:rPr>
            </w:pPr>
          </w:p>
        </w:tc>
      </w:tr>
      <w:tr w:rsidR="00606426" w:rsidTr="007935BE" w14:paraId="4353179C" w14:textId="77777777">
        <w:trPr>
          <w:trHeight w:val="425"/>
          <w:jc w:val="center"/>
        </w:trPr>
        <w:tc>
          <w:tcPr>
            <w:tcW w:w="5148" w:type="dxa"/>
            <w:gridSpan w:val="4"/>
            <w:shd w:val="clear" w:color="auto" w:fill="3366FF"/>
            <w:vAlign w:val="center"/>
          </w:tcPr>
          <w:p w:rsidRPr="003258D6" w:rsidR="00606426" w:rsidP="007935BE" w:rsidRDefault="00606426" w14:paraId="2A66C2FC" w14:textId="77777777">
            <w:pPr>
              <w:mirrorIndents/>
              <w:jc w:val="center"/>
              <w:rPr>
                <w:rFonts w:ascii="Segoe UI" w:hAnsi="Segoe UI" w:cs="Segoe UI"/>
                <w:b/>
                <w:color w:val="FFFFFF" w:themeColor="background1"/>
                <w:sz w:val="16"/>
                <w:szCs w:val="16"/>
              </w:rPr>
            </w:pPr>
            <w:r w:rsidRPr="003258D6">
              <w:rPr>
                <w:rFonts w:ascii="Segoe UI" w:hAnsi="Segoe UI" w:cs="Segoe UI"/>
                <w:b/>
                <w:color w:val="FFFFFF" w:themeColor="background1"/>
                <w:sz w:val="16"/>
                <w:szCs w:val="16"/>
              </w:rPr>
              <w:t>GRUPPO A – INDICATORI RELATIVI ALLA DIDATTICA</w:t>
            </w:r>
          </w:p>
        </w:tc>
      </w:tr>
      <w:tr w:rsidR="00606426" w:rsidTr="007935BE" w14:paraId="17F21861" w14:textId="77777777">
        <w:trPr>
          <w:trHeight w:val="425"/>
          <w:jc w:val="center"/>
        </w:trPr>
        <w:tc>
          <w:tcPr>
            <w:tcW w:w="856" w:type="dxa"/>
            <w:tcBorders>
              <w:right w:val="nil"/>
            </w:tcBorders>
            <w:vAlign w:val="center"/>
          </w:tcPr>
          <w:p w:rsidRPr="00994E65" w:rsidR="00606426" w:rsidP="007935BE" w:rsidRDefault="00606426" w14:paraId="65BDA23F" w14:textId="77777777">
            <w:pPr>
              <w:mirrorIndents/>
              <w:jc w:val="center"/>
              <w:rPr>
                <w:rFonts w:ascii="Segoe UI" w:hAnsi="Segoe UI" w:cs="Segoe UI"/>
                <w:sz w:val="16"/>
              </w:rPr>
            </w:pPr>
            <w:r w:rsidRPr="00994E65">
              <w:rPr>
                <w:rFonts w:ascii="Segoe UI" w:hAnsi="Segoe UI" w:cs="Segoe UI"/>
                <w:sz w:val="16"/>
              </w:rPr>
              <w:t>iC01</w:t>
            </w:r>
          </w:p>
        </w:tc>
        <w:tc>
          <w:tcPr>
            <w:tcW w:w="3422" w:type="dxa"/>
            <w:tcBorders>
              <w:left w:val="nil"/>
            </w:tcBorders>
            <w:vAlign w:val="center"/>
          </w:tcPr>
          <w:p w:rsidRPr="00994E65" w:rsidR="00606426" w:rsidP="007935BE" w:rsidRDefault="00606426" w14:paraId="37063E47" w14:textId="77777777">
            <w:pPr>
              <w:mirrorIndents/>
              <w:rPr>
                <w:rFonts w:ascii="Segoe UI" w:hAnsi="Segoe UI" w:cs="Segoe UI"/>
                <w:sz w:val="16"/>
              </w:rPr>
            </w:pPr>
            <w:r w:rsidRPr="00CA16B9">
              <w:rPr>
                <w:rFonts w:ascii="Segoe UI" w:hAnsi="Segoe UI" w:cs="Segoe UI"/>
                <w:sz w:val="16"/>
              </w:rPr>
              <w:t xml:space="preserve">Percentuale di studenti iscritti entro la durata normale del </w:t>
            </w:r>
            <w:proofErr w:type="spellStart"/>
            <w:r w:rsidRPr="00CA16B9">
              <w:rPr>
                <w:rFonts w:ascii="Segoe UI" w:hAnsi="Segoe UI" w:cs="Segoe UI"/>
                <w:sz w:val="16"/>
              </w:rPr>
              <w:t>CdS</w:t>
            </w:r>
            <w:proofErr w:type="spellEnd"/>
            <w:r w:rsidRPr="00CA16B9">
              <w:rPr>
                <w:rFonts w:ascii="Segoe UI" w:hAnsi="Segoe UI" w:cs="Segoe UI"/>
                <w:sz w:val="16"/>
              </w:rPr>
              <w:t xml:space="preserve"> che abbiano acquisito almeno 40 CFU </w:t>
            </w:r>
            <w:proofErr w:type="spellStart"/>
            <w:r w:rsidRPr="00CA16B9">
              <w:rPr>
                <w:rFonts w:ascii="Segoe UI" w:hAnsi="Segoe UI" w:cs="Segoe UI"/>
                <w:sz w:val="16"/>
              </w:rPr>
              <w:t>nell’a.s.</w:t>
            </w:r>
            <w:proofErr w:type="spellEnd"/>
          </w:p>
        </w:tc>
        <w:tc>
          <w:tcPr>
            <w:tcW w:w="435" w:type="dxa"/>
            <w:vAlign w:val="center"/>
          </w:tcPr>
          <w:p w:rsidRPr="009C32A8" w:rsidR="00606426" w:rsidP="007935BE" w:rsidRDefault="00606426" w14:paraId="058FF925" w14:textId="77777777">
            <w:pPr>
              <w:mirrorIndents/>
              <w:jc w:val="center"/>
              <w:rPr>
                <w:rFonts w:ascii="Segoe UI" w:hAnsi="Segoe UI" w:cs="Segoe UI"/>
                <w:sz w:val="24"/>
              </w:rPr>
            </w:pPr>
          </w:p>
        </w:tc>
        <w:tc>
          <w:tcPr>
            <w:tcW w:w="435" w:type="dxa"/>
            <w:vAlign w:val="center"/>
          </w:tcPr>
          <w:p w:rsidRPr="00606426" w:rsidR="00606426" w:rsidP="007935BE" w:rsidRDefault="00606426" w14:paraId="7F55C1A0" w14:textId="63C57C55">
            <w:pPr>
              <w:mirrorIndents/>
              <w:jc w:val="center"/>
              <w:rPr>
                <w:rFonts w:ascii="Segoe UI" w:hAnsi="Segoe UI" w:cs="Segoe UI"/>
                <w:b/>
                <w:bCs/>
                <w:sz w:val="24"/>
              </w:rPr>
            </w:pPr>
            <w:r>
              <w:rPr>
                <w:rFonts w:ascii="Segoe UI" w:hAnsi="Segoe UI" w:cs="Segoe UI"/>
                <w:b/>
                <w:bCs/>
                <w:sz w:val="24"/>
              </w:rPr>
              <w:t>X</w:t>
            </w:r>
          </w:p>
        </w:tc>
      </w:tr>
      <w:tr w:rsidR="00606426" w:rsidTr="007935BE" w14:paraId="7CF09DB2" w14:textId="77777777">
        <w:trPr>
          <w:trHeight w:val="425"/>
          <w:jc w:val="center"/>
        </w:trPr>
        <w:tc>
          <w:tcPr>
            <w:tcW w:w="856" w:type="dxa"/>
            <w:tcBorders>
              <w:right w:val="nil"/>
            </w:tcBorders>
            <w:vAlign w:val="center"/>
          </w:tcPr>
          <w:p w:rsidRPr="00994E65" w:rsidR="00606426" w:rsidP="007935BE" w:rsidRDefault="00606426" w14:paraId="3D9E0174" w14:textId="77777777">
            <w:pPr>
              <w:mirrorIndents/>
              <w:jc w:val="center"/>
              <w:rPr>
                <w:rFonts w:ascii="Segoe UI" w:hAnsi="Segoe UI" w:cs="Segoe UI"/>
                <w:sz w:val="16"/>
              </w:rPr>
            </w:pPr>
            <w:r w:rsidRPr="00994E65">
              <w:rPr>
                <w:rFonts w:ascii="Segoe UI" w:hAnsi="Segoe UI" w:cs="Segoe UI"/>
                <w:sz w:val="16"/>
              </w:rPr>
              <w:t>iC02</w:t>
            </w:r>
          </w:p>
        </w:tc>
        <w:tc>
          <w:tcPr>
            <w:tcW w:w="3422" w:type="dxa"/>
            <w:tcBorders>
              <w:left w:val="nil"/>
            </w:tcBorders>
            <w:vAlign w:val="center"/>
          </w:tcPr>
          <w:p w:rsidRPr="00994E65" w:rsidR="00606426" w:rsidP="007935BE" w:rsidRDefault="00606426" w14:paraId="71AA8C2A" w14:textId="77777777">
            <w:pPr>
              <w:mirrorIndents/>
              <w:rPr>
                <w:rFonts w:ascii="Segoe UI" w:hAnsi="Segoe UI" w:cs="Segoe UI"/>
                <w:sz w:val="16"/>
              </w:rPr>
            </w:pPr>
            <w:r w:rsidRPr="00901AEB">
              <w:rPr>
                <w:rFonts w:ascii="Segoe UI" w:hAnsi="Segoe UI" w:cs="Segoe UI"/>
                <w:sz w:val="16"/>
              </w:rPr>
              <w:t>Percentuale di laureati (L; LM; LMCU) entro la durata normale del corso</w:t>
            </w:r>
          </w:p>
        </w:tc>
        <w:tc>
          <w:tcPr>
            <w:tcW w:w="435" w:type="dxa"/>
            <w:vAlign w:val="center"/>
          </w:tcPr>
          <w:p w:rsidRPr="009C32A8" w:rsidR="00606426" w:rsidP="007935BE" w:rsidRDefault="00606426" w14:paraId="36D01CF9" w14:textId="77777777">
            <w:pPr>
              <w:mirrorIndents/>
              <w:jc w:val="center"/>
              <w:rPr>
                <w:rFonts w:ascii="Segoe UI" w:hAnsi="Segoe UI" w:cs="Segoe UI"/>
                <w:sz w:val="24"/>
              </w:rPr>
            </w:pPr>
          </w:p>
        </w:tc>
        <w:tc>
          <w:tcPr>
            <w:tcW w:w="435" w:type="dxa"/>
            <w:vAlign w:val="center"/>
          </w:tcPr>
          <w:p w:rsidRPr="00606426" w:rsidR="00606426" w:rsidP="007935BE" w:rsidRDefault="00606426" w14:paraId="68F43DB8" w14:textId="2A3FB381">
            <w:pPr>
              <w:mirrorIndents/>
              <w:jc w:val="center"/>
              <w:rPr>
                <w:rFonts w:ascii="Segoe UI" w:hAnsi="Segoe UI" w:cs="Segoe UI"/>
                <w:b/>
                <w:bCs/>
                <w:sz w:val="24"/>
              </w:rPr>
            </w:pPr>
            <w:r w:rsidRPr="00606426">
              <w:rPr>
                <w:rFonts w:ascii="Segoe UI" w:hAnsi="Segoe UI" w:cs="Segoe UI"/>
                <w:b/>
                <w:bCs/>
                <w:sz w:val="24"/>
              </w:rPr>
              <w:t>X</w:t>
            </w:r>
          </w:p>
        </w:tc>
      </w:tr>
      <w:tr w:rsidR="00606426" w:rsidTr="007935BE" w14:paraId="27FF5336" w14:textId="77777777">
        <w:trPr>
          <w:trHeight w:val="425"/>
          <w:jc w:val="center"/>
        </w:trPr>
        <w:tc>
          <w:tcPr>
            <w:tcW w:w="856" w:type="dxa"/>
            <w:tcBorders>
              <w:right w:val="nil"/>
            </w:tcBorders>
            <w:vAlign w:val="center"/>
          </w:tcPr>
          <w:p w:rsidRPr="00994E65" w:rsidR="00606426" w:rsidP="007935BE" w:rsidRDefault="00606426" w14:paraId="35DEBE69" w14:textId="77777777">
            <w:pPr>
              <w:mirrorIndents/>
              <w:jc w:val="center"/>
              <w:rPr>
                <w:rFonts w:ascii="Segoe UI" w:hAnsi="Segoe UI" w:cs="Segoe UI"/>
                <w:sz w:val="16"/>
              </w:rPr>
            </w:pPr>
            <w:r w:rsidRPr="00994E65">
              <w:rPr>
                <w:rFonts w:ascii="Segoe UI" w:hAnsi="Segoe UI" w:cs="Segoe UI"/>
                <w:sz w:val="16"/>
              </w:rPr>
              <w:t>iC03</w:t>
            </w:r>
          </w:p>
        </w:tc>
        <w:tc>
          <w:tcPr>
            <w:tcW w:w="3422" w:type="dxa"/>
            <w:tcBorders>
              <w:left w:val="nil"/>
            </w:tcBorders>
            <w:vAlign w:val="center"/>
          </w:tcPr>
          <w:p w:rsidRPr="00994E65" w:rsidR="00606426" w:rsidP="007935BE" w:rsidRDefault="00606426" w14:paraId="3D3B88A7" w14:textId="77777777">
            <w:pPr>
              <w:mirrorIndents/>
              <w:rPr>
                <w:rFonts w:ascii="Segoe UI" w:hAnsi="Segoe UI" w:cs="Segoe UI"/>
                <w:sz w:val="16"/>
              </w:rPr>
            </w:pPr>
            <w:r w:rsidRPr="00901AEB">
              <w:rPr>
                <w:rFonts w:ascii="Segoe UI" w:hAnsi="Segoe UI" w:cs="Segoe UI"/>
                <w:sz w:val="16"/>
              </w:rPr>
              <w:t>Percentuale di iscritti al primo anno (L, LMCU) provenienti da altre Regioni</w:t>
            </w:r>
          </w:p>
        </w:tc>
        <w:tc>
          <w:tcPr>
            <w:tcW w:w="435" w:type="dxa"/>
            <w:vAlign w:val="center"/>
          </w:tcPr>
          <w:p w:rsidRPr="009C32A8" w:rsidR="00606426" w:rsidP="007935BE" w:rsidRDefault="00606426" w14:paraId="2FF64596" w14:textId="77777777">
            <w:pPr>
              <w:mirrorIndents/>
              <w:jc w:val="center"/>
              <w:rPr>
                <w:rFonts w:ascii="Segoe UI" w:hAnsi="Segoe UI" w:cs="Segoe UI"/>
                <w:sz w:val="24"/>
              </w:rPr>
            </w:pPr>
          </w:p>
        </w:tc>
        <w:tc>
          <w:tcPr>
            <w:tcW w:w="435" w:type="dxa"/>
            <w:vAlign w:val="center"/>
          </w:tcPr>
          <w:p w:rsidRPr="009C32A8" w:rsidR="00606426" w:rsidP="007935BE" w:rsidRDefault="00606426" w14:paraId="15D859F2" w14:textId="77777777">
            <w:pPr>
              <w:mirrorIndents/>
              <w:jc w:val="center"/>
              <w:rPr>
                <w:rFonts w:ascii="Segoe UI" w:hAnsi="Segoe UI" w:cs="Segoe UI"/>
                <w:sz w:val="24"/>
              </w:rPr>
            </w:pPr>
          </w:p>
        </w:tc>
      </w:tr>
      <w:tr w:rsidR="00606426" w:rsidTr="007935BE" w14:paraId="6D20E611" w14:textId="77777777">
        <w:trPr>
          <w:trHeight w:val="425"/>
          <w:jc w:val="center"/>
        </w:trPr>
        <w:tc>
          <w:tcPr>
            <w:tcW w:w="856" w:type="dxa"/>
            <w:tcBorders>
              <w:right w:val="nil"/>
            </w:tcBorders>
            <w:vAlign w:val="center"/>
          </w:tcPr>
          <w:p w:rsidRPr="00994E65" w:rsidR="00606426" w:rsidP="007935BE" w:rsidRDefault="00606426" w14:paraId="0927FE3C" w14:textId="77777777">
            <w:pPr>
              <w:mirrorIndents/>
              <w:jc w:val="center"/>
              <w:rPr>
                <w:rFonts w:ascii="Segoe UI" w:hAnsi="Segoe UI" w:cs="Segoe UI"/>
                <w:sz w:val="16"/>
              </w:rPr>
            </w:pPr>
            <w:r w:rsidRPr="00994E65">
              <w:rPr>
                <w:rFonts w:ascii="Segoe UI" w:hAnsi="Segoe UI" w:cs="Segoe UI"/>
                <w:sz w:val="16"/>
              </w:rPr>
              <w:t>iC04</w:t>
            </w:r>
          </w:p>
        </w:tc>
        <w:tc>
          <w:tcPr>
            <w:tcW w:w="3422" w:type="dxa"/>
            <w:tcBorders>
              <w:left w:val="nil"/>
            </w:tcBorders>
            <w:vAlign w:val="center"/>
          </w:tcPr>
          <w:p w:rsidRPr="00994E65" w:rsidR="00606426" w:rsidP="007935BE" w:rsidRDefault="00606426" w14:paraId="5E50FF70" w14:textId="77777777">
            <w:pPr>
              <w:mirrorIndents/>
              <w:rPr>
                <w:rFonts w:ascii="Segoe UI" w:hAnsi="Segoe UI" w:cs="Segoe UI"/>
                <w:sz w:val="16"/>
              </w:rPr>
            </w:pPr>
            <w:r w:rsidRPr="007B7FB8">
              <w:rPr>
                <w:rFonts w:ascii="Segoe UI" w:hAnsi="Segoe UI" w:cs="Segoe UI"/>
                <w:sz w:val="16"/>
              </w:rPr>
              <w:t>Percentuale iscritti al primo anno (LM) laureati in altro Ateneo</w:t>
            </w:r>
          </w:p>
        </w:tc>
        <w:tc>
          <w:tcPr>
            <w:tcW w:w="435" w:type="dxa"/>
            <w:vAlign w:val="center"/>
          </w:tcPr>
          <w:p w:rsidRPr="009C32A8" w:rsidR="00606426" w:rsidP="007935BE" w:rsidRDefault="00606426" w14:paraId="64645C01" w14:textId="77777777">
            <w:pPr>
              <w:mirrorIndents/>
              <w:jc w:val="center"/>
              <w:rPr>
                <w:rFonts w:ascii="Segoe UI" w:hAnsi="Segoe UI" w:cs="Segoe UI"/>
                <w:sz w:val="24"/>
              </w:rPr>
            </w:pPr>
          </w:p>
        </w:tc>
        <w:tc>
          <w:tcPr>
            <w:tcW w:w="435" w:type="dxa"/>
            <w:vAlign w:val="center"/>
          </w:tcPr>
          <w:p w:rsidRPr="009C32A8" w:rsidR="00606426" w:rsidP="007935BE" w:rsidRDefault="00606426" w14:paraId="792A76EA" w14:textId="77777777">
            <w:pPr>
              <w:mirrorIndents/>
              <w:jc w:val="center"/>
              <w:rPr>
                <w:rFonts w:ascii="Segoe UI" w:hAnsi="Segoe UI" w:cs="Segoe UI"/>
                <w:sz w:val="24"/>
              </w:rPr>
            </w:pPr>
          </w:p>
        </w:tc>
      </w:tr>
      <w:tr w:rsidR="00606426" w:rsidTr="007935BE" w14:paraId="6A6A56FB" w14:textId="77777777">
        <w:trPr>
          <w:trHeight w:val="425"/>
          <w:jc w:val="center"/>
        </w:trPr>
        <w:tc>
          <w:tcPr>
            <w:tcW w:w="856" w:type="dxa"/>
            <w:tcBorders>
              <w:right w:val="nil"/>
            </w:tcBorders>
            <w:vAlign w:val="center"/>
          </w:tcPr>
          <w:p w:rsidRPr="00994E65" w:rsidR="00606426" w:rsidP="007935BE" w:rsidRDefault="00606426" w14:paraId="22270C25" w14:textId="77777777">
            <w:pPr>
              <w:mirrorIndents/>
              <w:jc w:val="center"/>
              <w:rPr>
                <w:rFonts w:ascii="Segoe UI" w:hAnsi="Segoe UI" w:cs="Segoe UI"/>
                <w:sz w:val="16"/>
              </w:rPr>
            </w:pPr>
            <w:r w:rsidRPr="00994E65">
              <w:rPr>
                <w:rFonts w:ascii="Segoe UI" w:hAnsi="Segoe UI" w:cs="Segoe UI"/>
                <w:sz w:val="16"/>
              </w:rPr>
              <w:t>iC05</w:t>
            </w:r>
          </w:p>
        </w:tc>
        <w:tc>
          <w:tcPr>
            <w:tcW w:w="3422" w:type="dxa"/>
            <w:tcBorders>
              <w:left w:val="nil"/>
            </w:tcBorders>
            <w:vAlign w:val="center"/>
          </w:tcPr>
          <w:p w:rsidRPr="00994E65" w:rsidR="00606426" w:rsidP="007935BE" w:rsidRDefault="00606426" w14:paraId="4F09A58E" w14:textId="77777777">
            <w:pPr>
              <w:mirrorIndents/>
              <w:rPr>
                <w:rFonts w:ascii="Segoe UI" w:hAnsi="Segoe UI" w:cs="Segoe UI"/>
                <w:sz w:val="16"/>
              </w:rPr>
            </w:pPr>
            <w:r w:rsidRPr="007B7FB8">
              <w:rPr>
                <w:rFonts w:ascii="Segoe UI" w:hAnsi="Segoe UI" w:cs="Segoe UI"/>
                <w:sz w:val="16"/>
              </w:rPr>
              <w:t>Rapporto studenti regolari/docenti (professori a tempo indeterminato, ricercatori a tempo indeterminato, ricercatori di tipo a e tipo b)</w:t>
            </w:r>
          </w:p>
        </w:tc>
        <w:tc>
          <w:tcPr>
            <w:tcW w:w="435" w:type="dxa"/>
            <w:vAlign w:val="center"/>
          </w:tcPr>
          <w:p w:rsidRPr="009C32A8" w:rsidR="00606426" w:rsidP="007935BE" w:rsidRDefault="00606426" w14:paraId="402128AE" w14:textId="77777777">
            <w:pPr>
              <w:mirrorIndents/>
              <w:jc w:val="center"/>
              <w:rPr>
                <w:rFonts w:ascii="Segoe UI" w:hAnsi="Segoe UI" w:cs="Segoe UI"/>
                <w:sz w:val="24"/>
              </w:rPr>
            </w:pPr>
          </w:p>
        </w:tc>
        <w:tc>
          <w:tcPr>
            <w:tcW w:w="435" w:type="dxa"/>
            <w:vAlign w:val="center"/>
          </w:tcPr>
          <w:p w:rsidRPr="000F3390" w:rsidR="00606426" w:rsidP="007935BE" w:rsidRDefault="000F3390" w14:paraId="53226ADC" w14:textId="4D848DCC">
            <w:pPr>
              <w:mirrorIndents/>
              <w:jc w:val="center"/>
              <w:rPr>
                <w:rFonts w:ascii="Segoe UI" w:hAnsi="Segoe UI" w:cs="Segoe UI"/>
                <w:b/>
                <w:bCs/>
                <w:sz w:val="24"/>
              </w:rPr>
            </w:pPr>
            <w:r w:rsidRPr="000F3390">
              <w:rPr>
                <w:rFonts w:ascii="Segoe UI" w:hAnsi="Segoe UI" w:cs="Segoe UI"/>
                <w:b/>
                <w:bCs/>
                <w:sz w:val="24"/>
              </w:rPr>
              <w:t>X</w:t>
            </w:r>
          </w:p>
        </w:tc>
      </w:tr>
      <w:tr w:rsidR="00606426" w:rsidTr="007935BE" w14:paraId="1205F183" w14:textId="77777777">
        <w:trPr>
          <w:trHeight w:val="425"/>
          <w:jc w:val="center"/>
        </w:trPr>
        <w:tc>
          <w:tcPr>
            <w:tcW w:w="856" w:type="dxa"/>
            <w:tcBorders>
              <w:right w:val="nil"/>
            </w:tcBorders>
            <w:vAlign w:val="center"/>
          </w:tcPr>
          <w:p w:rsidRPr="00994E65" w:rsidR="00606426" w:rsidP="007935BE" w:rsidRDefault="00606426" w14:paraId="0C97CBF4" w14:textId="77777777">
            <w:pPr>
              <w:mirrorIndents/>
              <w:jc w:val="center"/>
              <w:rPr>
                <w:rFonts w:ascii="Segoe UI" w:hAnsi="Segoe UI" w:cs="Segoe UI"/>
                <w:sz w:val="16"/>
              </w:rPr>
            </w:pPr>
            <w:r w:rsidRPr="00994E65">
              <w:rPr>
                <w:rFonts w:ascii="Segoe UI" w:hAnsi="Segoe UI" w:cs="Segoe UI"/>
                <w:sz w:val="16"/>
              </w:rPr>
              <w:t>iC06</w:t>
            </w:r>
          </w:p>
        </w:tc>
        <w:tc>
          <w:tcPr>
            <w:tcW w:w="3422" w:type="dxa"/>
            <w:tcBorders>
              <w:left w:val="nil"/>
            </w:tcBorders>
            <w:vAlign w:val="center"/>
          </w:tcPr>
          <w:p w:rsidRPr="00994E65" w:rsidR="00606426" w:rsidP="007935BE" w:rsidRDefault="00606426" w14:paraId="36781147" w14:textId="77777777">
            <w:pPr>
              <w:mirrorIndents/>
              <w:rPr>
                <w:rFonts w:ascii="Segoe UI" w:hAnsi="Segoe UI" w:cs="Segoe UI"/>
                <w:sz w:val="16"/>
              </w:rPr>
            </w:pPr>
            <w:r w:rsidRPr="007B7FB8">
              <w:rPr>
                <w:rFonts w:ascii="Segoe UI" w:hAnsi="Segoe UI" w:cs="Segoe UI"/>
                <w:sz w:val="16"/>
              </w:rPr>
              <w:t>Percentuale di Laureati occupati a un anno dal Titolo (L) - Laureati che dichiarano di svolgere un’attività lavorativa o di formazione retribuita (es. dottorato con borsa, specializzazione in medicina, ecc.)</w:t>
            </w:r>
          </w:p>
        </w:tc>
        <w:tc>
          <w:tcPr>
            <w:tcW w:w="435" w:type="dxa"/>
            <w:vAlign w:val="center"/>
          </w:tcPr>
          <w:p w:rsidRPr="009C32A8" w:rsidR="00606426" w:rsidP="007935BE" w:rsidRDefault="00606426" w14:paraId="373BAF21" w14:textId="77777777">
            <w:pPr>
              <w:mirrorIndents/>
              <w:jc w:val="center"/>
              <w:rPr>
                <w:rFonts w:ascii="Segoe UI" w:hAnsi="Segoe UI" w:cs="Segoe UI"/>
                <w:sz w:val="24"/>
              </w:rPr>
            </w:pPr>
          </w:p>
        </w:tc>
        <w:tc>
          <w:tcPr>
            <w:tcW w:w="435" w:type="dxa"/>
            <w:vAlign w:val="center"/>
          </w:tcPr>
          <w:p w:rsidRPr="009C32A8" w:rsidR="00606426" w:rsidP="007935BE" w:rsidRDefault="00606426" w14:paraId="07BA52C5" w14:textId="77777777">
            <w:pPr>
              <w:mirrorIndents/>
              <w:jc w:val="center"/>
              <w:rPr>
                <w:rFonts w:ascii="Segoe UI" w:hAnsi="Segoe UI" w:cs="Segoe UI"/>
                <w:sz w:val="24"/>
              </w:rPr>
            </w:pPr>
          </w:p>
        </w:tc>
      </w:tr>
      <w:tr w:rsidR="00606426" w:rsidTr="007935BE" w14:paraId="2629B215" w14:textId="77777777">
        <w:trPr>
          <w:trHeight w:val="425"/>
          <w:jc w:val="center"/>
        </w:trPr>
        <w:tc>
          <w:tcPr>
            <w:tcW w:w="856" w:type="dxa"/>
            <w:tcBorders>
              <w:right w:val="nil"/>
            </w:tcBorders>
            <w:vAlign w:val="center"/>
          </w:tcPr>
          <w:p w:rsidRPr="00994E65" w:rsidR="00606426" w:rsidP="007935BE" w:rsidRDefault="00606426" w14:paraId="090EECEF" w14:textId="77777777">
            <w:pPr>
              <w:mirrorIndents/>
              <w:jc w:val="center"/>
              <w:rPr>
                <w:rFonts w:ascii="Segoe UI" w:hAnsi="Segoe UI" w:cs="Segoe UI"/>
                <w:sz w:val="16"/>
              </w:rPr>
            </w:pPr>
            <w:r w:rsidRPr="00994E65">
              <w:rPr>
                <w:rFonts w:ascii="Segoe UI" w:hAnsi="Segoe UI" w:cs="Segoe UI"/>
                <w:sz w:val="16"/>
              </w:rPr>
              <w:t>iC06</w:t>
            </w:r>
            <w:r>
              <w:rPr>
                <w:rFonts w:ascii="Segoe UI" w:hAnsi="Segoe UI" w:cs="Segoe UI"/>
                <w:sz w:val="16"/>
              </w:rPr>
              <w:t>BIS</w:t>
            </w:r>
          </w:p>
        </w:tc>
        <w:tc>
          <w:tcPr>
            <w:tcW w:w="3422" w:type="dxa"/>
            <w:tcBorders>
              <w:left w:val="nil"/>
            </w:tcBorders>
            <w:vAlign w:val="center"/>
          </w:tcPr>
          <w:p w:rsidRPr="00994E65" w:rsidR="00606426" w:rsidP="007935BE" w:rsidRDefault="00606426" w14:paraId="1CA44519" w14:textId="77777777">
            <w:pPr>
              <w:mirrorIndents/>
              <w:rPr>
                <w:rFonts w:ascii="Segoe UI" w:hAnsi="Segoe UI" w:cs="Segoe UI"/>
                <w:sz w:val="16"/>
              </w:rPr>
            </w:pPr>
            <w:r w:rsidRPr="007B7FB8">
              <w:rPr>
                <w:rFonts w:ascii="Segoe UI" w:hAnsi="Segoe UI" w:cs="Segoe UI"/>
                <w:sz w:val="16"/>
              </w:rPr>
              <w:t>Percentuale di Laureati occupati a un anno dal Titolo (L) - laureati che dichiarano di svolgere un’attività lavorativa e regolamentata da un contratto, o di svolgere attività di formazione retribuita (es. dottorato con borsa, specializzazione in medicina, ecc.)</w:t>
            </w:r>
          </w:p>
        </w:tc>
        <w:tc>
          <w:tcPr>
            <w:tcW w:w="435" w:type="dxa"/>
            <w:vAlign w:val="center"/>
          </w:tcPr>
          <w:p w:rsidRPr="009C32A8" w:rsidR="00606426" w:rsidP="007935BE" w:rsidRDefault="00606426" w14:paraId="64FB935E" w14:textId="77777777">
            <w:pPr>
              <w:mirrorIndents/>
              <w:jc w:val="center"/>
              <w:rPr>
                <w:rFonts w:ascii="Segoe UI" w:hAnsi="Segoe UI" w:cs="Segoe UI"/>
                <w:sz w:val="24"/>
              </w:rPr>
            </w:pPr>
          </w:p>
        </w:tc>
        <w:tc>
          <w:tcPr>
            <w:tcW w:w="435" w:type="dxa"/>
            <w:vAlign w:val="center"/>
          </w:tcPr>
          <w:p w:rsidRPr="009C32A8" w:rsidR="00606426" w:rsidP="007935BE" w:rsidRDefault="00606426" w14:paraId="22515B56" w14:textId="77777777">
            <w:pPr>
              <w:mirrorIndents/>
              <w:jc w:val="center"/>
              <w:rPr>
                <w:rFonts w:ascii="Segoe UI" w:hAnsi="Segoe UI" w:cs="Segoe UI"/>
                <w:sz w:val="24"/>
              </w:rPr>
            </w:pPr>
          </w:p>
        </w:tc>
      </w:tr>
      <w:tr w:rsidR="00606426" w:rsidTr="007935BE" w14:paraId="4C969FE9" w14:textId="77777777">
        <w:trPr>
          <w:trHeight w:val="425"/>
          <w:jc w:val="center"/>
        </w:trPr>
        <w:tc>
          <w:tcPr>
            <w:tcW w:w="856" w:type="dxa"/>
            <w:tcBorders>
              <w:right w:val="nil"/>
            </w:tcBorders>
            <w:vAlign w:val="center"/>
          </w:tcPr>
          <w:p w:rsidRPr="00994E65" w:rsidR="00606426" w:rsidP="007935BE" w:rsidRDefault="00606426" w14:paraId="28A1A02E" w14:textId="77777777">
            <w:pPr>
              <w:mirrorIndents/>
              <w:jc w:val="center"/>
              <w:rPr>
                <w:rFonts w:ascii="Segoe UI" w:hAnsi="Segoe UI" w:cs="Segoe UI"/>
                <w:sz w:val="16"/>
              </w:rPr>
            </w:pPr>
            <w:r w:rsidRPr="00994E65">
              <w:rPr>
                <w:rFonts w:ascii="Segoe UI" w:hAnsi="Segoe UI" w:cs="Segoe UI"/>
                <w:sz w:val="16"/>
              </w:rPr>
              <w:t>iC06</w:t>
            </w:r>
            <w:r>
              <w:rPr>
                <w:rFonts w:ascii="Segoe UI" w:hAnsi="Segoe UI" w:cs="Segoe UI"/>
                <w:sz w:val="16"/>
              </w:rPr>
              <w:t>TER</w:t>
            </w:r>
          </w:p>
        </w:tc>
        <w:tc>
          <w:tcPr>
            <w:tcW w:w="3422" w:type="dxa"/>
            <w:tcBorders>
              <w:left w:val="nil"/>
            </w:tcBorders>
            <w:vAlign w:val="center"/>
          </w:tcPr>
          <w:p w:rsidRPr="00994E65" w:rsidR="00606426" w:rsidP="007935BE" w:rsidRDefault="00606426" w14:paraId="5B8AC24D" w14:textId="77777777">
            <w:pPr>
              <w:mirrorIndents/>
              <w:rPr>
                <w:rFonts w:ascii="Segoe UI" w:hAnsi="Segoe UI" w:cs="Segoe UI"/>
                <w:sz w:val="16"/>
              </w:rPr>
            </w:pPr>
            <w:r w:rsidRPr="007B7FB8">
              <w:rPr>
                <w:rFonts w:ascii="Segoe UI" w:hAnsi="Segoe UI" w:cs="Segoe UI"/>
                <w:sz w:val="16"/>
              </w:rPr>
              <w:t>Percentuale di Laureati occupati a un anno dal Titolo (L) – Laureati non impegnati in formazione non retribuita che dichiarano di svolgere un’attività lavorativa e regolamentata da un contratto</w:t>
            </w:r>
          </w:p>
        </w:tc>
        <w:tc>
          <w:tcPr>
            <w:tcW w:w="435" w:type="dxa"/>
            <w:vAlign w:val="center"/>
          </w:tcPr>
          <w:p w:rsidRPr="009C32A8" w:rsidR="00606426" w:rsidP="007935BE" w:rsidRDefault="00606426" w14:paraId="754CE9A6" w14:textId="77777777">
            <w:pPr>
              <w:mirrorIndents/>
              <w:jc w:val="center"/>
              <w:rPr>
                <w:rFonts w:ascii="Segoe UI" w:hAnsi="Segoe UI" w:cs="Segoe UI"/>
                <w:sz w:val="24"/>
              </w:rPr>
            </w:pPr>
          </w:p>
        </w:tc>
        <w:tc>
          <w:tcPr>
            <w:tcW w:w="435" w:type="dxa"/>
            <w:vAlign w:val="center"/>
          </w:tcPr>
          <w:p w:rsidRPr="009C32A8" w:rsidR="00606426" w:rsidP="007935BE" w:rsidRDefault="00606426" w14:paraId="22AC71CE" w14:textId="77777777">
            <w:pPr>
              <w:mirrorIndents/>
              <w:jc w:val="center"/>
              <w:rPr>
                <w:rFonts w:ascii="Segoe UI" w:hAnsi="Segoe UI" w:cs="Segoe UI"/>
                <w:sz w:val="24"/>
              </w:rPr>
            </w:pPr>
          </w:p>
        </w:tc>
      </w:tr>
      <w:tr w:rsidR="00606426" w:rsidTr="007935BE" w14:paraId="3D5E4952" w14:textId="77777777">
        <w:trPr>
          <w:trHeight w:val="425"/>
          <w:jc w:val="center"/>
        </w:trPr>
        <w:tc>
          <w:tcPr>
            <w:tcW w:w="856" w:type="dxa"/>
            <w:tcBorders>
              <w:right w:val="nil"/>
            </w:tcBorders>
            <w:vAlign w:val="center"/>
          </w:tcPr>
          <w:p w:rsidRPr="00994E65" w:rsidR="00606426" w:rsidP="007935BE" w:rsidRDefault="00606426" w14:paraId="498190B3" w14:textId="77777777">
            <w:pPr>
              <w:mirrorIndents/>
              <w:jc w:val="center"/>
              <w:rPr>
                <w:rFonts w:ascii="Segoe UI" w:hAnsi="Segoe UI" w:cs="Segoe UI"/>
                <w:sz w:val="16"/>
              </w:rPr>
            </w:pPr>
            <w:r w:rsidRPr="00994E65">
              <w:rPr>
                <w:rFonts w:ascii="Segoe UI" w:hAnsi="Segoe UI" w:cs="Segoe UI"/>
                <w:sz w:val="16"/>
              </w:rPr>
              <w:lastRenderedPageBreak/>
              <w:t>iC07</w:t>
            </w:r>
          </w:p>
        </w:tc>
        <w:tc>
          <w:tcPr>
            <w:tcW w:w="3422" w:type="dxa"/>
            <w:tcBorders>
              <w:left w:val="nil"/>
            </w:tcBorders>
            <w:vAlign w:val="center"/>
          </w:tcPr>
          <w:p w:rsidRPr="00994E65" w:rsidR="00606426" w:rsidP="007935BE" w:rsidRDefault="00606426" w14:paraId="0A9901D1" w14:textId="77777777">
            <w:pPr>
              <w:mirrorIndents/>
              <w:rPr>
                <w:rFonts w:ascii="Segoe UI" w:hAnsi="Segoe UI" w:cs="Segoe UI"/>
                <w:sz w:val="16"/>
              </w:rPr>
            </w:pPr>
            <w:r w:rsidRPr="00FA4F85">
              <w:rPr>
                <w:rFonts w:ascii="Segoe UI" w:hAnsi="Segoe UI" w:cs="Segoe UI"/>
                <w:sz w:val="16"/>
              </w:rPr>
              <w:t>Percentuale di Laureati occupati a tre anni dal Titolo (LM; LMCU) - Laureati che dichiarano di svolgere un’attività lavorativa o di formazione retribuita (es. dottorato con borsa, specializzazione in medicina, ecc.)</w:t>
            </w:r>
          </w:p>
        </w:tc>
        <w:tc>
          <w:tcPr>
            <w:tcW w:w="435" w:type="dxa"/>
            <w:vAlign w:val="center"/>
          </w:tcPr>
          <w:p w:rsidRPr="000F3390" w:rsidR="00606426" w:rsidP="007935BE" w:rsidRDefault="000F3390" w14:paraId="2AE759C9" w14:textId="7140AEC3">
            <w:pPr>
              <w:mirrorIndents/>
              <w:jc w:val="center"/>
              <w:rPr>
                <w:rFonts w:ascii="Segoe UI" w:hAnsi="Segoe UI" w:cs="Segoe UI"/>
                <w:b/>
                <w:bCs/>
                <w:sz w:val="24"/>
              </w:rPr>
            </w:pPr>
            <w:r w:rsidRPr="000F3390">
              <w:rPr>
                <w:rFonts w:ascii="Segoe UI" w:hAnsi="Segoe UI" w:cs="Segoe UI"/>
                <w:b/>
                <w:bCs/>
                <w:sz w:val="24"/>
              </w:rPr>
              <w:t>X</w:t>
            </w:r>
          </w:p>
        </w:tc>
        <w:tc>
          <w:tcPr>
            <w:tcW w:w="435" w:type="dxa"/>
            <w:vAlign w:val="center"/>
          </w:tcPr>
          <w:p w:rsidRPr="009C32A8" w:rsidR="00606426" w:rsidP="007935BE" w:rsidRDefault="00606426" w14:paraId="086C49F7" w14:textId="77777777">
            <w:pPr>
              <w:mirrorIndents/>
              <w:jc w:val="center"/>
              <w:rPr>
                <w:rFonts w:ascii="Segoe UI" w:hAnsi="Segoe UI" w:cs="Segoe UI"/>
                <w:sz w:val="24"/>
              </w:rPr>
            </w:pPr>
          </w:p>
        </w:tc>
      </w:tr>
      <w:tr w:rsidR="00606426" w:rsidTr="007935BE" w14:paraId="40C13A92" w14:textId="77777777">
        <w:trPr>
          <w:trHeight w:val="425"/>
          <w:jc w:val="center"/>
        </w:trPr>
        <w:tc>
          <w:tcPr>
            <w:tcW w:w="856" w:type="dxa"/>
            <w:tcBorders>
              <w:right w:val="nil"/>
            </w:tcBorders>
            <w:vAlign w:val="center"/>
          </w:tcPr>
          <w:p w:rsidRPr="00994E65" w:rsidR="00606426" w:rsidP="007935BE" w:rsidRDefault="00606426" w14:paraId="652F984B" w14:textId="77777777">
            <w:pPr>
              <w:mirrorIndents/>
              <w:jc w:val="center"/>
              <w:rPr>
                <w:rFonts w:ascii="Segoe UI" w:hAnsi="Segoe UI" w:cs="Segoe UI"/>
                <w:sz w:val="16"/>
              </w:rPr>
            </w:pPr>
            <w:r w:rsidRPr="00994E65">
              <w:rPr>
                <w:rFonts w:ascii="Segoe UI" w:hAnsi="Segoe UI" w:cs="Segoe UI"/>
                <w:sz w:val="16"/>
              </w:rPr>
              <w:t>iC0</w:t>
            </w:r>
            <w:r>
              <w:rPr>
                <w:rFonts w:ascii="Segoe UI" w:hAnsi="Segoe UI" w:cs="Segoe UI"/>
                <w:sz w:val="16"/>
              </w:rPr>
              <w:t>7BIS</w:t>
            </w:r>
          </w:p>
        </w:tc>
        <w:tc>
          <w:tcPr>
            <w:tcW w:w="3422" w:type="dxa"/>
            <w:tcBorders>
              <w:left w:val="nil"/>
            </w:tcBorders>
            <w:vAlign w:val="center"/>
          </w:tcPr>
          <w:p w:rsidRPr="001D6EF2" w:rsidR="00606426" w:rsidP="007935BE" w:rsidRDefault="00606426" w14:paraId="6DF2565A" w14:textId="77777777">
            <w:pPr>
              <w:mirrorIndents/>
              <w:rPr>
                <w:rFonts w:ascii="Segoe UI" w:hAnsi="Segoe UI" w:cs="Segoe UI"/>
                <w:sz w:val="16"/>
              </w:rPr>
            </w:pPr>
            <w:r w:rsidRPr="00FA4F85">
              <w:rPr>
                <w:rFonts w:ascii="Segoe UI" w:hAnsi="Segoe UI" w:cs="Segoe UI"/>
                <w:sz w:val="16"/>
              </w:rPr>
              <w:t>Percentuale di Laureati occupati a tre anni dal Titolo (LM; LMCU) - laureati che dichiarano di svolgere un’attività lavorativa e regolamentata da un contratto, o di svolgere attività di formazione retribuita (es. dottorato con borsa, specializzazione in medicina, ecc.)</w:t>
            </w:r>
          </w:p>
        </w:tc>
        <w:tc>
          <w:tcPr>
            <w:tcW w:w="435" w:type="dxa"/>
            <w:vAlign w:val="center"/>
          </w:tcPr>
          <w:p w:rsidRPr="009C32A8" w:rsidR="00606426" w:rsidP="007935BE" w:rsidRDefault="00606426" w14:paraId="04E7A420" w14:textId="77777777">
            <w:pPr>
              <w:mirrorIndents/>
              <w:jc w:val="center"/>
              <w:rPr>
                <w:rFonts w:ascii="Segoe UI" w:hAnsi="Segoe UI" w:cs="Segoe UI"/>
                <w:sz w:val="24"/>
              </w:rPr>
            </w:pPr>
          </w:p>
        </w:tc>
        <w:tc>
          <w:tcPr>
            <w:tcW w:w="435" w:type="dxa"/>
            <w:vAlign w:val="center"/>
          </w:tcPr>
          <w:p w:rsidRPr="009C32A8" w:rsidR="00606426" w:rsidP="007935BE" w:rsidRDefault="00606426" w14:paraId="4590029E" w14:textId="77777777">
            <w:pPr>
              <w:mirrorIndents/>
              <w:jc w:val="center"/>
              <w:rPr>
                <w:rFonts w:ascii="Segoe UI" w:hAnsi="Segoe UI" w:cs="Segoe UI"/>
                <w:sz w:val="24"/>
              </w:rPr>
            </w:pPr>
          </w:p>
        </w:tc>
      </w:tr>
      <w:tr w:rsidR="00606426" w:rsidTr="007935BE" w14:paraId="6516E3CD" w14:textId="77777777">
        <w:trPr>
          <w:trHeight w:val="425"/>
          <w:jc w:val="center"/>
        </w:trPr>
        <w:tc>
          <w:tcPr>
            <w:tcW w:w="856" w:type="dxa"/>
            <w:tcBorders>
              <w:right w:val="nil"/>
            </w:tcBorders>
            <w:vAlign w:val="center"/>
          </w:tcPr>
          <w:p w:rsidRPr="00994E65" w:rsidR="00606426" w:rsidP="007935BE" w:rsidRDefault="00606426" w14:paraId="4FF0BE57" w14:textId="77777777">
            <w:pPr>
              <w:mirrorIndents/>
              <w:jc w:val="center"/>
              <w:rPr>
                <w:rFonts w:ascii="Segoe UI" w:hAnsi="Segoe UI" w:cs="Segoe UI"/>
                <w:sz w:val="16"/>
              </w:rPr>
            </w:pPr>
            <w:r w:rsidRPr="00994E65">
              <w:rPr>
                <w:rFonts w:ascii="Segoe UI" w:hAnsi="Segoe UI" w:cs="Segoe UI"/>
                <w:sz w:val="16"/>
              </w:rPr>
              <w:t>iC0</w:t>
            </w:r>
            <w:r>
              <w:rPr>
                <w:rFonts w:ascii="Segoe UI" w:hAnsi="Segoe UI" w:cs="Segoe UI"/>
                <w:sz w:val="16"/>
              </w:rPr>
              <w:t>7TER</w:t>
            </w:r>
          </w:p>
        </w:tc>
        <w:tc>
          <w:tcPr>
            <w:tcW w:w="3422" w:type="dxa"/>
            <w:tcBorders>
              <w:left w:val="nil"/>
            </w:tcBorders>
            <w:vAlign w:val="center"/>
          </w:tcPr>
          <w:p w:rsidRPr="00994E65" w:rsidR="00606426" w:rsidP="007935BE" w:rsidRDefault="00606426" w14:paraId="61C2FE7F" w14:textId="77777777">
            <w:pPr>
              <w:mirrorIndents/>
              <w:rPr>
                <w:rFonts w:ascii="Segoe UI" w:hAnsi="Segoe UI" w:cs="Segoe UI"/>
                <w:sz w:val="16"/>
              </w:rPr>
            </w:pPr>
            <w:r w:rsidRPr="00FA4F85">
              <w:rPr>
                <w:rFonts w:ascii="Segoe UI" w:hAnsi="Segoe UI" w:cs="Segoe UI"/>
                <w:sz w:val="16"/>
              </w:rPr>
              <w:t>Percentuale di Laureati occupati a tre anni dal Titolo (LM; LMCU) - Laureati non impegnati in formazione non retribuita che dichiarano di svolgere un’attività lavorativa e regolamentata da un contratto</w:t>
            </w:r>
          </w:p>
        </w:tc>
        <w:tc>
          <w:tcPr>
            <w:tcW w:w="435" w:type="dxa"/>
            <w:vAlign w:val="center"/>
          </w:tcPr>
          <w:p w:rsidRPr="009C32A8" w:rsidR="00606426" w:rsidP="007935BE" w:rsidRDefault="00606426" w14:paraId="10AA47C0" w14:textId="77777777">
            <w:pPr>
              <w:mirrorIndents/>
              <w:jc w:val="center"/>
              <w:rPr>
                <w:rFonts w:ascii="Segoe UI" w:hAnsi="Segoe UI" w:cs="Segoe UI"/>
                <w:sz w:val="24"/>
              </w:rPr>
            </w:pPr>
          </w:p>
        </w:tc>
        <w:tc>
          <w:tcPr>
            <w:tcW w:w="435" w:type="dxa"/>
            <w:vAlign w:val="center"/>
          </w:tcPr>
          <w:p w:rsidRPr="009C32A8" w:rsidR="00606426" w:rsidP="007935BE" w:rsidRDefault="00606426" w14:paraId="6F8F3CA8" w14:textId="77777777">
            <w:pPr>
              <w:mirrorIndents/>
              <w:jc w:val="center"/>
              <w:rPr>
                <w:rFonts w:ascii="Segoe UI" w:hAnsi="Segoe UI" w:cs="Segoe UI"/>
                <w:sz w:val="24"/>
              </w:rPr>
            </w:pPr>
          </w:p>
        </w:tc>
      </w:tr>
      <w:tr w:rsidR="00606426" w:rsidTr="007935BE" w14:paraId="19D2D9AE" w14:textId="77777777">
        <w:trPr>
          <w:trHeight w:val="425"/>
          <w:jc w:val="center"/>
        </w:trPr>
        <w:tc>
          <w:tcPr>
            <w:tcW w:w="856" w:type="dxa"/>
            <w:tcBorders>
              <w:right w:val="nil"/>
            </w:tcBorders>
            <w:vAlign w:val="center"/>
          </w:tcPr>
          <w:p w:rsidRPr="00994E65" w:rsidR="00606426" w:rsidP="007935BE" w:rsidRDefault="00606426" w14:paraId="3A2E2988" w14:textId="77777777">
            <w:pPr>
              <w:mirrorIndents/>
              <w:jc w:val="center"/>
              <w:rPr>
                <w:rFonts w:ascii="Segoe UI" w:hAnsi="Segoe UI" w:cs="Segoe UI"/>
                <w:sz w:val="16"/>
              </w:rPr>
            </w:pPr>
            <w:r w:rsidRPr="00994E65">
              <w:rPr>
                <w:rFonts w:ascii="Segoe UI" w:hAnsi="Segoe UI" w:cs="Segoe UI"/>
                <w:sz w:val="16"/>
              </w:rPr>
              <w:t>iC08</w:t>
            </w:r>
          </w:p>
        </w:tc>
        <w:tc>
          <w:tcPr>
            <w:tcW w:w="3422" w:type="dxa"/>
            <w:tcBorders>
              <w:left w:val="nil"/>
            </w:tcBorders>
            <w:vAlign w:val="center"/>
          </w:tcPr>
          <w:p w:rsidRPr="00994E65" w:rsidR="00606426" w:rsidP="007935BE" w:rsidRDefault="00606426" w14:paraId="17FC1C21" w14:textId="77777777">
            <w:pPr>
              <w:mirrorIndents/>
              <w:rPr>
                <w:rFonts w:ascii="Segoe UI" w:hAnsi="Segoe UI" w:cs="Segoe UI"/>
                <w:sz w:val="16"/>
              </w:rPr>
            </w:pPr>
            <w:r w:rsidRPr="00FA4F85">
              <w:rPr>
                <w:rFonts w:ascii="Segoe UI" w:hAnsi="Segoe UI" w:cs="Segoe UI"/>
                <w:sz w:val="16"/>
              </w:rPr>
              <w:t>Percentuale dei docenti di ruolo che appartengono a settori scientifico-disciplinari (SSD) di base e caratterizzanti per corso di studio (L; LMCU; LM), di cui sono docenti di riferimento</w:t>
            </w:r>
          </w:p>
        </w:tc>
        <w:tc>
          <w:tcPr>
            <w:tcW w:w="435" w:type="dxa"/>
            <w:vAlign w:val="center"/>
          </w:tcPr>
          <w:p w:rsidRPr="000F3390" w:rsidR="00606426" w:rsidP="007935BE" w:rsidRDefault="000F3390" w14:paraId="3DCFC9AC" w14:textId="597D5F02">
            <w:pPr>
              <w:mirrorIndents/>
              <w:jc w:val="center"/>
              <w:rPr>
                <w:rFonts w:ascii="Segoe UI" w:hAnsi="Segoe UI" w:cs="Segoe UI"/>
                <w:b/>
                <w:bCs/>
                <w:sz w:val="24"/>
              </w:rPr>
            </w:pPr>
            <w:r w:rsidRPr="000F3390">
              <w:rPr>
                <w:rFonts w:ascii="Segoe UI" w:hAnsi="Segoe UI" w:cs="Segoe UI"/>
                <w:b/>
                <w:bCs/>
                <w:sz w:val="24"/>
              </w:rPr>
              <w:t>X</w:t>
            </w:r>
          </w:p>
        </w:tc>
        <w:tc>
          <w:tcPr>
            <w:tcW w:w="435" w:type="dxa"/>
            <w:vAlign w:val="center"/>
          </w:tcPr>
          <w:p w:rsidRPr="009C32A8" w:rsidR="00606426" w:rsidP="007935BE" w:rsidRDefault="00606426" w14:paraId="6778A15A" w14:textId="77777777">
            <w:pPr>
              <w:mirrorIndents/>
              <w:jc w:val="center"/>
              <w:rPr>
                <w:rFonts w:ascii="Segoe UI" w:hAnsi="Segoe UI" w:cs="Segoe UI"/>
                <w:sz w:val="24"/>
              </w:rPr>
            </w:pPr>
          </w:p>
        </w:tc>
      </w:tr>
      <w:tr w:rsidR="00606426" w:rsidTr="007935BE" w14:paraId="59C1D52A" w14:textId="77777777">
        <w:trPr>
          <w:trHeight w:val="425"/>
          <w:jc w:val="center"/>
        </w:trPr>
        <w:tc>
          <w:tcPr>
            <w:tcW w:w="856" w:type="dxa"/>
            <w:tcBorders>
              <w:right w:val="nil"/>
            </w:tcBorders>
            <w:vAlign w:val="center"/>
          </w:tcPr>
          <w:p w:rsidRPr="00994E65" w:rsidR="00606426" w:rsidP="007935BE" w:rsidRDefault="00606426" w14:paraId="48F5B5D6" w14:textId="77777777">
            <w:pPr>
              <w:mirrorIndents/>
              <w:jc w:val="center"/>
              <w:rPr>
                <w:rFonts w:ascii="Segoe UI" w:hAnsi="Segoe UI" w:cs="Segoe UI"/>
                <w:sz w:val="16"/>
              </w:rPr>
            </w:pPr>
            <w:r w:rsidRPr="00994E65">
              <w:rPr>
                <w:rFonts w:ascii="Segoe UI" w:hAnsi="Segoe UI" w:cs="Segoe UI"/>
                <w:sz w:val="16"/>
              </w:rPr>
              <w:t>iC09</w:t>
            </w:r>
          </w:p>
        </w:tc>
        <w:tc>
          <w:tcPr>
            <w:tcW w:w="3422" w:type="dxa"/>
            <w:tcBorders>
              <w:left w:val="nil"/>
            </w:tcBorders>
            <w:vAlign w:val="center"/>
          </w:tcPr>
          <w:p w:rsidRPr="00994E65" w:rsidR="00606426" w:rsidP="007935BE" w:rsidRDefault="00606426" w14:paraId="154DB37A" w14:textId="77777777">
            <w:pPr>
              <w:mirrorIndents/>
              <w:rPr>
                <w:rFonts w:ascii="Segoe UI" w:hAnsi="Segoe UI" w:cs="Segoe UI"/>
                <w:sz w:val="16"/>
              </w:rPr>
            </w:pPr>
            <w:r w:rsidRPr="00FD3612">
              <w:rPr>
                <w:rFonts w:ascii="Segoe UI" w:hAnsi="Segoe UI" w:cs="Segoe UI"/>
                <w:sz w:val="16"/>
              </w:rPr>
              <w:t>Valori dell'indicatore di Qualità della ricerca dei docenti per le lauree magistrali (QRDLM) (valore di riferimento: 0,8)</w:t>
            </w:r>
          </w:p>
        </w:tc>
        <w:tc>
          <w:tcPr>
            <w:tcW w:w="435" w:type="dxa"/>
            <w:vAlign w:val="center"/>
          </w:tcPr>
          <w:p w:rsidRPr="009C32A8" w:rsidR="00606426" w:rsidP="007935BE" w:rsidRDefault="00606426" w14:paraId="60EB15E7" w14:textId="77777777">
            <w:pPr>
              <w:mirrorIndents/>
              <w:jc w:val="center"/>
              <w:rPr>
                <w:rFonts w:ascii="Segoe UI" w:hAnsi="Segoe UI" w:cs="Segoe UI"/>
                <w:sz w:val="24"/>
              </w:rPr>
            </w:pPr>
          </w:p>
        </w:tc>
        <w:tc>
          <w:tcPr>
            <w:tcW w:w="435" w:type="dxa"/>
            <w:vAlign w:val="center"/>
          </w:tcPr>
          <w:p w:rsidRPr="009C32A8" w:rsidR="00606426" w:rsidP="007935BE" w:rsidRDefault="00606426" w14:paraId="35B41CCE" w14:textId="77777777">
            <w:pPr>
              <w:mirrorIndents/>
              <w:jc w:val="center"/>
              <w:rPr>
                <w:rFonts w:ascii="Segoe UI" w:hAnsi="Segoe UI" w:cs="Segoe UI"/>
                <w:sz w:val="24"/>
              </w:rPr>
            </w:pPr>
          </w:p>
        </w:tc>
      </w:tr>
      <w:tr w:rsidR="00606426" w:rsidTr="007935BE" w14:paraId="48083257" w14:textId="77777777">
        <w:trPr>
          <w:trHeight w:val="425"/>
          <w:jc w:val="center"/>
        </w:trPr>
        <w:tc>
          <w:tcPr>
            <w:tcW w:w="5148" w:type="dxa"/>
            <w:gridSpan w:val="4"/>
            <w:shd w:val="clear" w:color="auto" w:fill="3366FF"/>
            <w:vAlign w:val="center"/>
          </w:tcPr>
          <w:p w:rsidRPr="00CA16B9" w:rsidR="00606426" w:rsidP="007935BE" w:rsidRDefault="00606426" w14:paraId="7C1B8D49" w14:textId="77777777">
            <w:pPr>
              <w:mirrorIndents/>
              <w:jc w:val="center"/>
              <w:rPr>
                <w:rFonts w:ascii="Segoe UI" w:hAnsi="Segoe UI" w:cs="Segoe UI"/>
                <w:b/>
                <w:color w:val="FFFFFF" w:themeColor="background1"/>
                <w:sz w:val="16"/>
              </w:rPr>
            </w:pPr>
            <w:r w:rsidRPr="00CA16B9">
              <w:rPr>
                <w:rFonts w:ascii="Segoe UI" w:hAnsi="Segoe UI" w:cs="Segoe UI"/>
                <w:b/>
                <w:color w:val="FFFFFF" w:themeColor="background1"/>
                <w:sz w:val="16"/>
              </w:rPr>
              <w:t>GRUPPO B – INDICATORI DI INTERNAZIONALIZZAZIONE</w:t>
            </w:r>
          </w:p>
        </w:tc>
      </w:tr>
      <w:tr w:rsidR="00606426" w:rsidTr="007935BE" w14:paraId="500B0209" w14:textId="77777777">
        <w:trPr>
          <w:trHeight w:val="425"/>
          <w:jc w:val="center"/>
        </w:trPr>
        <w:tc>
          <w:tcPr>
            <w:tcW w:w="856" w:type="dxa"/>
            <w:tcBorders>
              <w:right w:val="nil"/>
            </w:tcBorders>
            <w:vAlign w:val="center"/>
          </w:tcPr>
          <w:p w:rsidRPr="00994E65" w:rsidR="00606426" w:rsidP="007935BE" w:rsidRDefault="00606426" w14:paraId="7D800127" w14:textId="77777777">
            <w:pPr>
              <w:mirrorIndents/>
              <w:jc w:val="center"/>
              <w:rPr>
                <w:rFonts w:ascii="Segoe UI" w:hAnsi="Segoe UI" w:cs="Segoe UI"/>
                <w:sz w:val="16"/>
              </w:rPr>
            </w:pPr>
            <w:r w:rsidRPr="00994E65">
              <w:rPr>
                <w:rFonts w:ascii="Segoe UI" w:hAnsi="Segoe UI" w:cs="Segoe UI"/>
                <w:sz w:val="16"/>
              </w:rPr>
              <w:t>iC10</w:t>
            </w:r>
          </w:p>
        </w:tc>
        <w:tc>
          <w:tcPr>
            <w:tcW w:w="3422" w:type="dxa"/>
            <w:tcBorders>
              <w:left w:val="nil"/>
            </w:tcBorders>
            <w:vAlign w:val="center"/>
          </w:tcPr>
          <w:p w:rsidRPr="00994E65" w:rsidR="00606426" w:rsidP="007935BE" w:rsidRDefault="00606426" w14:paraId="32B9354C" w14:textId="77777777">
            <w:pPr>
              <w:mirrorIndents/>
              <w:rPr>
                <w:rFonts w:ascii="Segoe UI" w:hAnsi="Segoe UI" w:cs="Segoe UI"/>
                <w:sz w:val="16"/>
              </w:rPr>
            </w:pPr>
            <w:r w:rsidRPr="00FD3612">
              <w:rPr>
                <w:rFonts w:ascii="Segoe UI" w:hAnsi="Segoe UI" w:cs="Segoe UI"/>
                <w:sz w:val="16"/>
              </w:rPr>
              <w:t>Percentuale di CFU conseguiti all'estero dagli studenti regolari sul totale dei CFU conseguiti dagli studenti entro la durata normale del corso</w:t>
            </w:r>
          </w:p>
        </w:tc>
        <w:tc>
          <w:tcPr>
            <w:tcW w:w="435" w:type="dxa"/>
            <w:vAlign w:val="center"/>
          </w:tcPr>
          <w:p w:rsidRPr="000F3390" w:rsidR="00606426" w:rsidP="007935BE" w:rsidRDefault="000F3390" w14:paraId="063E6F77" w14:textId="39B2A66B">
            <w:pPr>
              <w:mirrorIndents/>
              <w:jc w:val="center"/>
              <w:rPr>
                <w:rFonts w:ascii="Segoe UI" w:hAnsi="Segoe UI" w:cs="Segoe UI"/>
                <w:b/>
                <w:bCs/>
                <w:sz w:val="24"/>
              </w:rPr>
            </w:pPr>
            <w:r w:rsidRPr="000F3390">
              <w:rPr>
                <w:rFonts w:ascii="Segoe UI" w:hAnsi="Segoe UI" w:cs="Segoe UI"/>
                <w:b/>
                <w:bCs/>
                <w:sz w:val="24"/>
              </w:rPr>
              <w:t>X</w:t>
            </w:r>
          </w:p>
        </w:tc>
        <w:tc>
          <w:tcPr>
            <w:tcW w:w="435" w:type="dxa"/>
            <w:vAlign w:val="center"/>
          </w:tcPr>
          <w:p w:rsidRPr="009C32A8" w:rsidR="00606426" w:rsidP="007935BE" w:rsidRDefault="00606426" w14:paraId="2446ED51" w14:textId="77777777">
            <w:pPr>
              <w:mirrorIndents/>
              <w:jc w:val="center"/>
              <w:rPr>
                <w:rFonts w:ascii="Segoe UI" w:hAnsi="Segoe UI" w:cs="Segoe UI"/>
                <w:sz w:val="24"/>
              </w:rPr>
            </w:pPr>
          </w:p>
        </w:tc>
      </w:tr>
      <w:tr w:rsidR="00606426" w:rsidTr="007935BE" w14:paraId="2656FCB9" w14:textId="77777777">
        <w:trPr>
          <w:trHeight w:val="425"/>
          <w:jc w:val="center"/>
        </w:trPr>
        <w:tc>
          <w:tcPr>
            <w:tcW w:w="856" w:type="dxa"/>
            <w:tcBorders>
              <w:right w:val="nil"/>
            </w:tcBorders>
            <w:vAlign w:val="center"/>
          </w:tcPr>
          <w:p w:rsidRPr="00994E65" w:rsidR="00606426" w:rsidP="007935BE" w:rsidRDefault="00606426" w14:paraId="5159E34B" w14:textId="77777777">
            <w:pPr>
              <w:mirrorIndents/>
              <w:jc w:val="center"/>
              <w:rPr>
                <w:rFonts w:ascii="Segoe UI" w:hAnsi="Segoe UI" w:cs="Segoe UI"/>
                <w:sz w:val="16"/>
              </w:rPr>
            </w:pPr>
            <w:r>
              <w:rPr>
                <w:rFonts w:ascii="Segoe UI" w:hAnsi="Segoe UI" w:cs="Segoe UI"/>
                <w:sz w:val="16"/>
              </w:rPr>
              <w:t>iC11</w:t>
            </w:r>
          </w:p>
        </w:tc>
        <w:tc>
          <w:tcPr>
            <w:tcW w:w="3422" w:type="dxa"/>
            <w:tcBorders>
              <w:left w:val="nil"/>
            </w:tcBorders>
            <w:vAlign w:val="center"/>
          </w:tcPr>
          <w:p w:rsidRPr="00994E65" w:rsidR="00606426" w:rsidP="007935BE" w:rsidRDefault="00606426" w14:paraId="00718DCA" w14:textId="77777777">
            <w:pPr>
              <w:mirrorIndents/>
              <w:rPr>
                <w:rFonts w:ascii="Segoe UI" w:hAnsi="Segoe UI" w:cs="Segoe UI"/>
                <w:sz w:val="16"/>
              </w:rPr>
            </w:pPr>
            <w:r w:rsidRPr="00FD3612">
              <w:rPr>
                <w:rFonts w:ascii="Segoe UI" w:hAnsi="Segoe UI" w:cs="Segoe UI"/>
                <w:sz w:val="16"/>
              </w:rPr>
              <w:t>Percentuale di laureati (L; LM; LMCU) entro la durata normale del corso che hanno acquisito almeno 12 CFU all’estero</w:t>
            </w:r>
          </w:p>
        </w:tc>
        <w:tc>
          <w:tcPr>
            <w:tcW w:w="435" w:type="dxa"/>
            <w:vAlign w:val="center"/>
          </w:tcPr>
          <w:p w:rsidRPr="000F3390" w:rsidR="00606426" w:rsidP="007935BE" w:rsidRDefault="000F3390" w14:paraId="1F59342F" w14:textId="15A736C8">
            <w:pPr>
              <w:mirrorIndents/>
              <w:jc w:val="center"/>
              <w:rPr>
                <w:rFonts w:ascii="Segoe UI" w:hAnsi="Segoe UI" w:cs="Segoe UI"/>
                <w:b/>
                <w:bCs/>
                <w:sz w:val="24"/>
              </w:rPr>
            </w:pPr>
            <w:r w:rsidRPr="000F3390">
              <w:rPr>
                <w:rFonts w:ascii="Segoe UI" w:hAnsi="Segoe UI" w:cs="Segoe UI"/>
                <w:b/>
                <w:bCs/>
                <w:sz w:val="24"/>
              </w:rPr>
              <w:t>X</w:t>
            </w:r>
          </w:p>
        </w:tc>
        <w:tc>
          <w:tcPr>
            <w:tcW w:w="435" w:type="dxa"/>
            <w:vAlign w:val="center"/>
          </w:tcPr>
          <w:p w:rsidRPr="009C32A8" w:rsidR="00606426" w:rsidP="007935BE" w:rsidRDefault="00606426" w14:paraId="3C33B296" w14:textId="77777777">
            <w:pPr>
              <w:mirrorIndents/>
              <w:jc w:val="center"/>
              <w:rPr>
                <w:rFonts w:ascii="Segoe UI" w:hAnsi="Segoe UI" w:cs="Segoe UI"/>
                <w:sz w:val="24"/>
              </w:rPr>
            </w:pPr>
          </w:p>
        </w:tc>
      </w:tr>
      <w:tr w:rsidR="00606426" w:rsidTr="007935BE" w14:paraId="07D1356B" w14:textId="77777777">
        <w:trPr>
          <w:trHeight w:val="425"/>
          <w:jc w:val="center"/>
        </w:trPr>
        <w:tc>
          <w:tcPr>
            <w:tcW w:w="856" w:type="dxa"/>
            <w:tcBorders>
              <w:right w:val="nil"/>
            </w:tcBorders>
            <w:vAlign w:val="center"/>
          </w:tcPr>
          <w:p w:rsidRPr="00994E65" w:rsidR="00606426" w:rsidP="007935BE" w:rsidRDefault="00606426" w14:paraId="722A074B" w14:textId="77777777">
            <w:pPr>
              <w:mirrorIndents/>
              <w:jc w:val="center"/>
              <w:rPr>
                <w:rFonts w:ascii="Segoe UI" w:hAnsi="Segoe UI" w:cs="Segoe UI"/>
                <w:sz w:val="16"/>
              </w:rPr>
            </w:pPr>
            <w:r>
              <w:rPr>
                <w:rFonts w:ascii="Segoe UI" w:hAnsi="Segoe UI" w:cs="Segoe UI"/>
                <w:sz w:val="16"/>
              </w:rPr>
              <w:t>iC12</w:t>
            </w:r>
          </w:p>
        </w:tc>
        <w:tc>
          <w:tcPr>
            <w:tcW w:w="3422" w:type="dxa"/>
            <w:tcBorders>
              <w:left w:val="nil"/>
            </w:tcBorders>
            <w:vAlign w:val="center"/>
          </w:tcPr>
          <w:p w:rsidRPr="00994E65" w:rsidR="00606426" w:rsidP="007935BE" w:rsidRDefault="00606426" w14:paraId="5166AA07" w14:textId="77777777">
            <w:pPr>
              <w:mirrorIndents/>
              <w:rPr>
                <w:rFonts w:ascii="Segoe UI" w:hAnsi="Segoe UI" w:cs="Segoe UI"/>
                <w:sz w:val="16"/>
              </w:rPr>
            </w:pPr>
            <w:r w:rsidRPr="00FD3612">
              <w:rPr>
                <w:rFonts w:ascii="Segoe UI" w:hAnsi="Segoe UI" w:cs="Segoe UI"/>
                <w:sz w:val="16"/>
              </w:rPr>
              <w:t>Percentuale di studenti iscritti al primo anno del corso di laurea (L) e laurea magistrale (LM; LMCU) che hanno conseguito il precedente titolo di studio all’estero</w:t>
            </w:r>
          </w:p>
        </w:tc>
        <w:tc>
          <w:tcPr>
            <w:tcW w:w="435" w:type="dxa"/>
            <w:vAlign w:val="center"/>
          </w:tcPr>
          <w:p w:rsidRPr="009C32A8" w:rsidR="00606426" w:rsidP="007935BE" w:rsidRDefault="00606426" w14:paraId="6A95AA07" w14:textId="77777777">
            <w:pPr>
              <w:mirrorIndents/>
              <w:jc w:val="center"/>
              <w:rPr>
                <w:rFonts w:ascii="Segoe UI" w:hAnsi="Segoe UI" w:cs="Segoe UI"/>
                <w:sz w:val="24"/>
              </w:rPr>
            </w:pPr>
          </w:p>
        </w:tc>
        <w:tc>
          <w:tcPr>
            <w:tcW w:w="435" w:type="dxa"/>
            <w:vAlign w:val="center"/>
          </w:tcPr>
          <w:p w:rsidRPr="009C32A8" w:rsidR="00606426" w:rsidP="007935BE" w:rsidRDefault="00606426" w14:paraId="0AA8C66F" w14:textId="77777777">
            <w:pPr>
              <w:mirrorIndents/>
              <w:jc w:val="center"/>
              <w:rPr>
                <w:rFonts w:ascii="Segoe UI" w:hAnsi="Segoe UI" w:cs="Segoe UI"/>
                <w:sz w:val="24"/>
              </w:rPr>
            </w:pPr>
          </w:p>
        </w:tc>
      </w:tr>
      <w:tr w:rsidR="00606426" w:rsidTr="007935BE" w14:paraId="5A54B6D2" w14:textId="77777777">
        <w:trPr>
          <w:trHeight w:val="425"/>
          <w:jc w:val="center"/>
        </w:trPr>
        <w:tc>
          <w:tcPr>
            <w:tcW w:w="5148" w:type="dxa"/>
            <w:gridSpan w:val="4"/>
            <w:shd w:val="clear" w:color="auto" w:fill="3366FF"/>
            <w:vAlign w:val="center"/>
          </w:tcPr>
          <w:p w:rsidRPr="00CA16B9" w:rsidR="00606426" w:rsidP="007935BE" w:rsidRDefault="00606426" w14:paraId="7FFAF9F9" w14:textId="77777777">
            <w:pPr>
              <w:mirrorIndents/>
              <w:jc w:val="center"/>
              <w:rPr>
                <w:rFonts w:ascii="Segoe UI" w:hAnsi="Segoe UI" w:cs="Segoe UI"/>
                <w:b/>
                <w:color w:val="FFFFFF" w:themeColor="background1"/>
                <w:sz w:val="16"/>
                <w:szCs w:val="16"/>
              </w:rPr>
            </w:pPr>
            <w:r w:rsidRPr="00CA16B9">
              <w:rPr>
                <w:rFonts w:ascii="Segoe UI" w:hAnsi="Segoe UI" w:cs="Segoe UI"/>
                <w:b/>
                <w:color w:val="FFFFFF" w:themeColor="background1"/>
                <w:sz w:val="16"/>
                <w:szCs w:val="16"/>
              </w:rPr>
              <w:t>GRUPPO E – ULTERIORI INDICATORI PER LA VALUTAZIONE DELLA DIDATTICA</w:t>
            </w:r>
          </w:p>
        </w:tc>
      </w:tr>
      <w:tr w:rsidR="00606426" w:rsidTr="007935BE" w14:paraId="0866265C" w14:textId="77777777">
        <w:trPr>
          <w:trHeight w:val="425"/>
          <w:jc w:val="center"/>
        </w:trPr>
        <w:tc>
          <w:tcPr>
            <w:tcW w:w="856" w:type="dxa"/>
            <w:tcBorders>
              <w:right w:val="nil"/>
            </w:tcBorders>
            <w:vAlign w:val="center"/>
          </w:tcPr>
          <w:p w:rsidRPr="00922F7D" w:rsidR="00606426" w:rsidP="007935BE" w:rsidRDefault="00606426" w14:paraId="7EF68FBF" w14:textId="77777777">
            <w:pPr>
              <w:mirrorIndents/>
              <w:jc w:val="center"/>
              <w:rPr>
                <w:rFonts w:ascii="Segoe UI" w:hAnsi="Segoe UI" w:cs="Segoe UI"/>
                <w:sz w:val="16"/>
              </w:rPr>
            </w:pPr>
            <w:r w:rsidRPr="00922F7D">
              <w:rPr>
                <w:rFonts w:ascii="Segoe UI" w:hAnsi="Segoe UI" w:cs="Segoe UI"/>
                <w:sz w:val="16"/>
              </w:rPr>
              <w:t>iC13</w:t>
            </w:r>
          </w:p>
        </w:tc>
        <w:tc>
          <w:tcPr>
            <w:tcW w:w="3422" w:type="dxa"/>
            <w:tcBorders>
              <w:left w:val="nil"/>
            </w:tcBorders>
            <w:vAlign w:val="center"/>
          </w:tcPr>
          <w:p w:rsidRPr="00922F7D" w:rsidR="00606426" w:rsidP="007935BE" w:rsidRDefault="00606426" w14:paraId="53F57D15" w14:textId="77777777">
            <w:pPr>
              <w:mirrorIndents/>
              <w:rPr>
                <w:rFonts w:ascii="Segoe UI" w:hAnsi="Segoe UI" w:cs="Segoe UI"/>
                <w:sz w:val="16"/>
              </w:rPr>
            </w:pPr>
            <w:r w:rsidRPr="00FD3612">
              <w:rPr>
                <w:rFonts w:ascii="Segoe UI" w:hAnsi="Segoe UI" w:cs="Segoe UI"/>
                <w:sz w:val="16"/>
              </w:rPr>
              <w:t>Percentuale di CFU conseguiti al I anno su CFU da conseguire</w:t>
            </w:r>
          </w:p>
        </w:tc>
        <w:tc>
          <w:tcPr>
            <w:tcW w:w="435" w:type="dxa"/>
            <w:vAlign w:val="center"/>
          </w:tcPr>
          <w:p w:rsidRPr="009C32A8" w:rsidR="00606426" w:rsidP="007935BE" w:rsidRDefault="00606426" w14:paraId="0BCC81A6" w14:textId="77777777">
            <w:pPr>
              <w:mirrorIndents/>
              <w:jc w:val="center"/>
              <w:rPr>
                <w:rFonts w:ascii="Segoe UI" w:hAnsi="Segoe UI" w:cs="Segoe UI"/>
                <w:sz w:val="24"/>
              </w:rPr>
            </w:pPr>
          </w:p>
        </w:tc>
        <w:tc>
          <w:tcPr>
            <w:tcW w:w="435" w:type="dxa"/>
            <w:vAlign w:val="center"/>
          </w:tcPr>
          <w:p w:rsidRPr="000F3390" w:rsidR="00606426" w:rsidP="007935BE" w:rsidRDefault="000F3390" w14:paraId="3F9669D0" w14:textId="4AED5D50">
            <w:pPr>
              <w:mirrorIndents/>
              <w:jc w:val="center"/>
              <w:rPr>
                <w:rFonts w:ascii="Segoe UI" w:hAnsi="Segoe UI" w:cs="Segoe UI"/>
                <w:b/>
                <w:bCs/>
                <w:sz w:val="24"/>
              </w:rPr>
            </w:pPr>
            <w:r w:rsidRPr="000F3390">
              <w:rPr>
                <w:rFonts w:ascii="Segoe UI" w:hAnsi="Segoe UI" w:cs="Segoe UI"/>
                <w:b/>
                <w:bCs/>
                <w:sz w:val="24"/>
              </w:rPr>
              <w:t>X</w:t>
            </w:r>
          </w:p>
        </w:tc>
      </w:tr>
      <w:tr w:rsidR="00606426" w:rsidTr="007935BE" w14:paraId="5E84BD69" w14:textId="77777777">
        <w:trPr>
          <w:trHeight w:val="425"/>
          <w:jc w:val="center"/>
        </w:trPr>
        <w:tc>
          <w:tcPr>
            <w:tcW w:w="856" w:type="dxa"/>
            <w:tcBorders>
              <w:right w:val="nil"/>
            </w:tcBorders>
            <w:vAlign w:val="center"/>
          </w:tcPr>
          <w:p w:rsidRPr="00922F7D" w:rsidR="00606426" w:rsidP="007935BE" w:rsidRDefault="00606426" w14:paraId="51DA4A13" w14:textId="77777777">
            <w:pPr>
              <w:mirrorIndents/>
              <w:jc w:val="center"/>
              <w:rPr>
                <w:rFonts w:ascii="Segoe UI" w:hAnsi="Segoe UI" w:cs="Segoe UI"/>
                <w:sz w:val="16"/>
              </w:rPr>
            </w:pPr>
            <w:r w:rsidRPr="00922F7D">
              <w:rPr>
                <w:rFonts w:ascii="Segoe UI" w:hAnsi="Segoe UI" w:cs="Segoe UI"/>
                <w:sz w:val="16"/>
              </w:rPr>
              <w:t>iC14</w:t>
            </w:r>
          </w:p>
        </w:tc>
        <w:tc>
          <w:tcPr>
            <w:tcW w:w="3422" w:type="dxa"/>
            <w:tcBorders>
              <w:left w:val="nil"/>
            </w:tcBorders>
            <w:vAlign w:val="center"/>
          </w:tcPr>
          <w:p w:rsidRPr="00922F7D" w:rsidR="00606426" w:rsidP="007935BE" w:rsidRDefault="00606426" w14:paraId="3E588CA6" w14:textId="77777777">
            <w:pPr>
              <w:mirrorIndents/>
              <w:rPr>
                <w:rFonts w:ascii="Segoe UI" w:hAnsi="Segoe UI" w:cs="Segoe UI"/>
                <w:sz w:val="16"/>
              </w:rPr>
            </w:pPr>
            <w:r w:rsidRPr="00FD3612">
              <w:rPr>
                <w:rFonts w:ascii="Segoe UI" w:hAnsi="Segoe UI" w:cs="Segoe UI"/>
                <w:sz w:val="16"/>
              </w:rPr>
              <w:t>Percentuale di studenti che proseguono nel II anno nello stesso corso di studio</w:t>
            </w:r>
          </w:p>
        </w:tc>
        <w:tc>
          <w:tcPr>
            <w:tcW w:w="435" w:type="dxa"/>
            <w:vAlign w:val="center"/>
          </w:tcPr>
          <w:p w:rsidRPr="009C32A8" w:rsidR="00606426" w:rsidP="007935BE" w:rsidRDefault="00606426" w14:paraId="66189CA9" w14:textId="77777777">
            <w:pPr>
              <w:mirrorIndents/>
              <w:jc w:val="center"/>
              <w:rPr>
                <w:rFonts w:ascii="Segoe UI" w:hAnsi="Segoe UI" w:cs="Segoe UI"/>
                <w:sz w:val="24"/>
              </w:rPr>
            </w:pPr>
          </w:p>
        </w:tc>
        <w:tc>
          <w:tcPr>
            <w:tcW w:w="435" w:type="dxa"/>
            <w:vAlign w:val="center"/>
          </w:tcPr>
          <w:p w:rsidRPr="000F3390" w:rsidR="00606426" w:rsidP="007935BE" w:rsidRDefault="000F3390" w14:paraId="593EEFDC" w14:textId="0F21AAEB">
            <w:pPr>
              <w:mirrorIndents/>
              <w:jc w:val="center"/>
              <w:rPr>
                <w:rFonts w:ascii="Segoe UI" w:hAnsi="Segoe UI" w:cs="Segoe UI"/>
                <w:b/>
                <w:bCs/>
                <w:sz w:val="24"/>
              </w:rPr>
            </w:pPr>
            <w:r w:rsidRPr="000F3390">
              <w:rPr>
                <w:rFonts w:ascii="Segoe UI" w:hAnsi="Segoe UI" w:cs="Segoe UI"/>
                <w:b/>
                <w:bCs/>
                <w:sz w:val="24"/>
              </w:rPr>
              <w:t>X</w:t>
            </w:r>
          </w:p>
        </w:tc>
      </w:tr>
      <w:tr w:rsidR="00606426" w:rsidTr="007935BE" w14:paraId="52208DB2" w14:textId="77777777">
        <w:trPr>
          <w:trHeight w:val="425"/>
          <w:jc w:val="center"/>
        </w:trPr>
        <w:tc>
          <w:tcPr>
            <w:tcW w:w="856" w:type="dxa"/>
            <w:tcBorders>
              <w:right w:val="nil"/>
            </w:tcBorders>
            <w:vAlign w:val="center"/>
          </w:tcPr>
          <w:p w:rsidRPr="00922F7D" w:rsidR="00606426" w:rsidP="007935BE" w:rsidRDefault="00606426" w14:paraId="256353F7" w14:textId="77777777">
            <w:pPr>
              <w:mirrorIndents/>
              <w:jc w:val="center"/>
              <w:rPr>
                <w:rFonts w:ascii="Segoe UI" w:hAnsi="Segoe UI" w:cs="Segoe UI"/>
                <w:sz w:val="16"/>
              </w:rPr>
            </w:pPr>
            <w:r w:rsidRPr="00922F7D">
              <w:rPr>
                <w:rFonts w:ascii="Segoe UI" w:hAnsi="Segoe UI" w:cs="Segoe UI"/>
                <w:sz w:val="16"/>
              </w:rPr>
              <w:t>iC15</w:t>
            </w:r>
          </w:p>
        </w:tc>
        <w:tc>
          <w:tcPr>
            <w:tcW w:w="3422" w:type="dxa"/>
            <w:tcBorders>
              <w:left w:val="nil"/>
            </w:tcBorders>
            <w:vAlign w:val="center"/>
          </w:tcPr>
          <w:p w:rsidRPr="00922F7D" w:rsidR="00606426" w:rsidP="007935BE" w:rsidRDefault="00606426" w14:paraId="6E98F701" w14:textId="77777777">
            <w:pPr>
              <w:mirrorIndents/>
              <w:rPr>
                <w:rFonts w:ascii="Segoe UI" w:hAnsi="Segoe UI" w:cs="Segoe UI"/>
                <w:sz w:val="16"/>
              </w:rPr>
            </w:pPr>
            <w:r w:rsidRPr="00FD3612">
              <w:rPr>
                <w:rFonts w:ascii="Segoe UI" w:hAnsi="Segoe UI" w:cs="Segoe UI"/>
                <w:sz w:val="16"/>
              </w:rPr>
              <w:t>Percentuale di studenti che proseguono al II anno nello stesso corso di studio avendo acquisito almeno 20 CFU al I anno</w:t>
            </w:r>
          </w:p>
        </w:tc>
        <w:tc>
          <w:tcPr>
            <w:tcW w:w="435" w:type="dxa"/>
            <w:vAlign w:val="center"/>
          </w:tcPr>
          <w:p w:rsidRPr="009C32A8" w:rsidR="00606426" w:rsidP="007935BE" w:rsidRDefault="00606426" w14:paraId="7D48DE1E" w14:textId="77777777">
            <w:pPr>
              <w:mirrorIndents/>
              <w:jc w:val="center"/>
              <w:rPr>
                <w:rFonts w:ascii="Segoe UI" w:hAnsi="Segoe UI" w:cs="Segoe UI"/>
                <w:sz w:val="24"/>
              </w:rPr>
            </w:pPr>
          </w:p>
        </w:tc>
        <w:tc>
          <w:tcPr>
            <w:tcW w:w="435" w:type="dxa"/>
            <w:vAlign w:val="center"/>
          </w:tcPr>
          <w:p w:rsidRPr="000F3390" w:rsidR="00606426" w:rsidP="007935BE" w:rsidRDefault="00606426" w14:paraId="6F7E0F5E" w14:textId="55833626">
            <w:pPr>
              <w:mirrorIndents/>
              <w:jc w:val="center"/>
              <w:rPr>
                <w:rFonts w:ascii="Segoe UI" w:hAnsi="Segoe UI" w:cs="Segoe UI"/>
                <w:b/>
                <w:bCs/>
                <w:sz w:val="24"/>
              </w:rPr>
            </w:pPr>
          </w:p>
        </w:tc>
      </w:tr>
      <w:tr w:rsidR="00606426" w:rsidTr="007935BE" w14:paraId="6D51356A" w14:textId="77777777">
        <w:trPr>
          <w:trHeight w:val="425"/>
          <w:jc w:val="center"/>
        </w:trPr>
        <w:tc>
          <w:tcPr>
            <w:tcW w:w="856" w:type="dxa"/>
            <w:tcBorders>
              <w:right w:val="nil"/>
            </w:tcBorders>
            <w:vAlign w:val="center"/>
          </w:tcPr>
          <w:p w:rsidRPr="00922F7D" w:rsidR="00606426" w:rsidP="007935BE" w:rsidRDefault="00606426" w14:paraId="45E8CBF1" w14:textId="77777777">
            <w:pPr>
              <w:mirrorIndents/>
              <w:jc w:val="center"/>
              <w:rPr>
                <w:rFonts w:ascii="Segoe UI" w:hAnsi="Segoe UI" w:cs="Segoe UI"/>
                <w:sz w:val="16"/>
              </w:rPr>
            </w:pPr>
            <w:r w:rsidRPr="00922F7D">
              <w:rPr>
                <w:rFonts w:ascii="Segoe UI" w:hAnsi="Segoe UI" w:cs="Segoe UI"/>
                <w:sz w:val="16"/>
              </w:rPr>
              <w:t>iC15BIS</w:t>
            </w:r>
          </w:p>
        </w:tc>
        <w:tc>
          <w:tcPr>
            <w:tcW w:w="3422" w:type="dxa"/>
            <w:tcBorders>
              <w:left w:val="nil"/>
            </w:tcBorders>
            <w:vAlign w:val="center"/>
          </w:tcPr>
          <w:p w:rsidRPr="00922F7D" w:rsidR="00606426" w:rsidP="007935BE" w:rsidRDefault="00606426" w14:paraId="0EE4B412" w14:textId="77777777">
            <w:pPr>
              <w:mirrorIndents/>
              <w:rPr>
                <w:rFonts w:ascii="Segoe UI" w:hAnsi="Segoe UI" w:cs="Segoe UI"/>
                <w:sz w:val="16"/>
              </w:rPr>
            </w:pPr>
            <w:r w:rsidRPr="00FD3612">
              <w:rPr>
                <w:rFonts w:ascii="Segoe UI" w:hAnsi="Segoe UI" w:cs="Segoe UI"/>
                <w:sz w:val="16"/>
              </w:rPr>
              <w:t>Percentuale di studenti che proseguono al II anno nello stesso corso di studio avendo acquisito almeno 1/3 dei CFU previsti al I anno</w:t>
            </w:r>
          </w:p>
        </w:tc>
        <w:tc>
          <w:tcPr>
            <w:tcW w:w="435" w:type="dxa"/>
            <w:vAlign w:val="center"/>
          </w:tcPr>
          <w:p w:rsidRPr="009C32A8" w:rsidR="00606426" w:rsidP="007935BE" w:rsidRDefault="00606426" w14:paraId="76DCD002" w14:textId="77777777">
            <w:pPr>
              <w:mirrorIndents/>
              <w:jc w:val="center"/>
              <w:rPr>
                <w:rFonts w:ascii="Segoe UI" w:hAnsi="Segoe UI" w:cs="Segoe UI"/>
                <w:sz w:val="24"/>
              </w:rPr>
            </w:pPr>
          </w:p>
        </w:tc>
        <w:tc>
          <w:tcPr>
            <w:tcW w:w="435" w:type="dxa"/>
            <w:vAlign w:val="center"/>
          </w:tcPr>
          <w:p w:rsidRPr="009C32A8" w:rsidR="00606426" w:rsidP="007935BE" w:rsidRDefault="00606426" w14:paraId="1024C2C8" w14:textId="77777777">
            <w:pPr>
              <w:mirrorIndents/>
              <w:jc w:val="center"/>
              <w:rPr>
                <w:rFonts w:ascii="Segoe UI" w:hAnsi="Segoe UI" w:cs="Segoe UI"/>
                <w:sz w:val="24"/>
              </w:rPr>
            </w:pPr>
          </w:p>
        </w:tc>
      </w:tr>
      <w:tr w:rsidR="00606426" w:rsidTr="007935BE" w14:paraId="6EAF2BCC" w14:textId="77777777">
        <w:trPr>
          <w:trHeight w:val="425"/>
          <w:jc w:val="center"/>
        </w:trPr>
        <w:tc>
          <w:tcPr>
            <w:tcW w:w="856" w:type="dxa"/>
            <w:tcBorders>
              <w:right w:val="nil"/>
            </w:tcBorders>
            <w:vAlign w:val="center"/>
          </w:tcPr>
          <w:p w:rsidRPr="00922F7D" w:rsidR="00606426" w:rsidP="007935BE" w:rsidRDefault="00606426" w14:paraId="5F7B1DA4" w14:textId="77777777">
            <w:pPr>
              <w:mirrorIndents/>
              <w:jc w:val="center"/>
              <w:rPr>
                <w:rFonts w:ascii="Segoe UI" w:hAnsi="Segoe UI" w:cs="Segoe UI"/>
                <w:sz w:val="16"/>
              </w:rPr>
            </w:pPr>
            <w:r w:rsidRPr="00922F7D">
              <w:rPr>
                <w:rFonts w:ascii="Segoe UI" w:hAnsi="Segoe UI" w:cs="Segoe UI"/>
                <w:sz w:val="16"/>
              </w:rPr>
              <w:t>iC16</w:t>
            </w:r>
          </w:p>
        </w:tc>
        <w:tc>
          <w:tcPr>
            <w:tcW w:w="3422" w:type="dxa"/>
            <w:tcBorders>
              <w:left w:val="nil"/>
            </w:tcBorders>
            <w:vAlign w:val="center"/>
          </w:tcPr>
          <w:p w:rsidRPr="00922F7D" w:rsidR="00606426" w:rsidP="007935BE" w:rsidRDefault="00606426" w14:paraId="112CF96B" w14:textId="77777777">
            <w:pPr>
              <w:mirrorIndents/>
              <w:rPr>
                <w:rFonts w:ascii="Segoe UI" w:hAnsi="Segoe UI" w:cs="Segoe UI"/>
                <w:sz w:val="16"/>
              </w:rPr>
            </w:pPr>
            <w:r w:rsidRPr="00FD3612">
              <w:rPr>
                <w:rFonts w:ascii="Segoe UI" w:hAnsi="Segoe UI" w:cs="Segoe UI"/>
                <w:sz w:val="16"/>
              </w:rPr>
              <w:t>Percentuale di studenti che proseguono al II anno nello stesso corso di studio avendo acquisito almeno 40 CFU al I anno</w:t>
            </w:r>
          </w:p>
        </w:tc>
        <w:tc>
          <w:tcPr>
            <w:tcW w:w="435" w:type="dxa"/>
            <w:vAlign w:val="center"/>
          </w:tcPr>
          <w:p w:rsidRPr="009C32A8" w:rsidR="00606426" w:rsidP="007935BE" w:rsidRDefault="00606426" w14:paraId="05693360" w14:textId="77777777">
            <w:pPr>
              <w:mirrorIndents/>
              <w:jc w:val="center"/>
              <w:rPr>
                <w:rFonts w:ascii="Segoe UI" w:hAnsi="Segoe UI" w:cs="Segoe UI"/>
                <w:sz w:val="24"/>
              </w:rPr>
            </w:pPr>
          </w:p>
        </w:tc>
        <w:tc>
          <w:tcPr>
            <w:tcW w:w="435" w:type="dxa"/>
            <w:vAlign w:val="center"/>
          </w:tcPr>
          <w:p w:rsidRPr="000F3390" w:rsidR="00606426" w:rsidP="007935BE" w:rsidRDefault="00606426" w14:paraId="2FE49183" w14:textId="25C1253A">
            <w:pPr>
              <w:mirrorIndents/>
              <w:jc w:val="center"/>
              <w:rPr>
                <w:rFonts w:ascii="Segoe UI" w:hAnsi="Segoe UI" w:cs="Segoe UI"/>
                <w:b/>
                <w:bCs/>
                <w:sz w:val="24"/>
              </w:rPr>
            </w:pPr>
          </w:p>
        </w:tc>
      </w:tr>
      <w:tr w:rsidR="00606426" w:rsidTr="007935BE" w14:paraId="1D3F3DD6" w14:textId="77777777">
        <w:trPr>
          <w:trHeight w:val="425"/>
          <w:jc w:val="center"/>
        </w:trPr>
        <w:tc>
          <w:tcPr>
            <w:tcW w:w="856" w:type="dxa"/>
            <w:tcBorders>
              <w:right w:val="nil"/>
            </w:tcBorders>
            <w:vAlign w:val="center"/>
          </w:tcPr>
          <w:p w:rsidRPr="00922F7D" w:rsidR="00606426" w:rsidP="007935BE" w:rsidRDefault="00606426" w14:paraId="51302FD0" w14:textId="77777777">
            <w:pPr>
              <w:mirrorIndents/>
              <w:jc w:val="center"/>
              <w:rPr>
                <w:rFonts w:ascii="Segoe UI" w:hAnsi="Segoe UI" w:cs="Segoe UI"/>
                <w:sz w:val="16"/>
              </w:rPr>
            </w:pPr>
            <w:r w:rsidRPr="00922F7D">
              <w:rPr>
                <w:rFonts w:ascii="Segoe UI" w:hAnsi="Segoe UI" w:cs="Segoe UI"/>
                <w:sz w:val="16"/>
              </w:rPr>
              <w:t>iC16BIS</w:t>
            </w:r>
          </w:p>
        </w:tc>
        <w:tc>
          <w:tcPr>
            <w:tcW w:w="3422" w:type="dxa"/>
            <w:tcBorders>
              <w:left w:val="nil"/>
            </w:tcBorders>
            <w:vAlign w:val="center"/>
          </w:tcPr>
          <w:p w:rsidRPr="00922F7D" w:rsidR="00606426" w:rsidP="007935BE" w:rsidRDefault="00606426" w14:paraId="40A71E65" w14:textId="77777777">
            <w:pPr>
              <w:mirrorIndents/>
              <w:rPr>
                <w:rFonts w:ascii="Segoe UI" w:hAnsi="Segoe UI" w:cs="Segoe UI"/>
                <w:sz w:val="16"/>
              </w:rPr>
            </w:pPr>
            <w:r w:rsidRPr="00FD3612">
              <w:rPr>
                <w:rFonts w:ascii="Segoe UI" w:hAnsi="Segoe UI" w:cs="Segoe UI"/>
                <w:sz w:val="16"/>
              </w:rPr>
              <w:t>Percentuale di studenti che proseguono al II anno nello stesso corso di studio avendo acquisito almeno 2/3 dei CFU previsti al I anno</w:t>
            </w:r>
          </w:p>
        </w:tc>
        <w:tc>
          <w:tcPr>
            <w:tcW w:w="435" w:type="dxa"/>
            <w:vAlign w:val="center"/>
          </w:tcPr>
          <w:p w:rsidRPr="009C32A8" w:rsidR="00606426" w:rsidP="007935BE" w:rsidRDefault="00606426" w14:paraId="6645EEBE" w14:textId="77777777">
            <w:pPr>
              <w:mirrorIndents/>
              <w:jc w:val="center"/>
              <w:rPr>
                <w:rFonts w:ascii="Segoe UI" w:hAnsi="Segoe UI" w:cs="Segoe UI"/>
                <w:sz w:val="24"/>
              </w:rPr>
            </w:pPr>
          </w:p>
        </w:tc>
        <w:tc>
          <w:tcPr>
            <w:tcW w:w="435" w:type="dxa"/>
            <w:vAlign w:val="center"/>
          </w:tcPr>
          <w:p w:rsidRPr="009C32A8" w:rsidR="00606426" w:rsidP="007935BE" w:rsidRDefault="00606426" w14:paraId="23E4D800" w14:textId="77777777">
            <w:pPr>
              <w:mirrorIndents/>
              <w:jc w:val="center"/>
              <w:rPr>
                <w:rFonts w:ascii="Segoe UI" w:hAnsi="Segoe UI" w:cs="Segoe UI"/>
                <w:sz w:val="24"/>
              </w:rPr>
            </w:pPr>
          </w:p>
        </w:tc>
      </w:tr>
      <w:tr w:rsidR="00606426" w:rsidTr="007935BE" w14:paraId="258ED508" w14:textId="77777777">
        <w:trPr>
          <w:trHeight w:val="425"/>
          <w:jc w:val="center"/>
        </w:trPr>
        <w:tc>
          <w:tcPr>
            <w:tcW w:w="856" w:type="dxa"/>
            <w:tcBorders>
              <w:right w:val="nil"/>
            </w:tcBorders>
            <w:vAlign w:val="center"/>
          </w:tcPr>
          <w:p w:rsidRPr="00922F7D" w:rsidR="00606426" w:rsidP="007935BE" w:rsidRDefault="00606426" w14:paraId="1E33F94F" w14:textId="77777777">
            <w:pPr>
              <w:mirrorIndents/>
              <w:jc w:val="center"/>
              <w:rPr>
                <w:rFonts w:ascii="Segoe UI" w:hAnsi="Segoe UI" w:cs="Segoe UI"/>
                <w:sz w:val="16"/>
              </w:rPr>
            </w:pPr>
            <w:r w:rsidRPr="00922F7D">
              <w:rPr>
                <w:rFonts w:ascii="Segoe UI" w:hAnsi="Segoe UI" w:cs="Segoe UI"/>
                <w:sz w:val="16"/>
              </w:rPr>
              <w:lastRenderedPageBreak/>
              <w:t>iC17</w:t>
            </w:r>
          </w:p>
        </w:tc>
        <w:tc>
          <w:tcPr>
            <w:tcW w:w="3422" w:type="dxa"/>
            <w:tcBorders>
              <w:left w:val="nil"/>
            </w:tcBorders>
            <w:vAlign w:val="center"/>
          </w:tcPr>
          <w:p w:rsidRPr="00922F7D" w:rsidR="00606426" w:rsidP="007935BE" w:rsidRDefault="00606426" w14:paraId="4AF018E0" w14:textId="77777777">
            <w:pPr>
              <w:mirrorIndents/>
              <w:rPr>
                <w:rFonts w:ascii="Segoe UI" w:hAnsi="Segoe UI" w:cs="Segoe UI"/>
                <w:sz w:val="16"/>
              </w:rPr>
            </w:pPr>
            <w:r w:rsidRPr="00FD3612">
              <w:rPr>
                <w:rFonts w:ascii="Segoe UI" w:hAnsi="Segoe UI" w:cs="Segoe UI"/>
                <w:sz w:val="16"/>
              </w:rPr>
              <w:t>Percentuale di immatricolati (L; LM; LMCU) che si laureano entro un anno oltre la durata normale del corso nello stesso corso di studio</w:t>
            </w:r>
          </w:p>
        </w:tc>
        <w:tc>
          <w:tcPr>
            <w:tcW w:w="435" w:type="dxa"/>
            <w:vAlign w:val="center"/>
          </w:tcPr>
          <w:p w:rsidRPr="009C32A8" w:rsidR="00606426" w:rsidP="007935BE" w:rsidRDefault="00606426" w14:paraId="77F726A8" w14:textId="77777777">
            <w:pPr>
              <w:mirrorIndents/>
              <w:jc w:val="center"/>
              <w:rPr>
                <w:rFonts w:ascii="Segoe UI" w:hAnsi="Segoe UI" w:cs="Segoe UI"/>
                <w:sz w:val="24"/>
              </w:rPr>
            </w:pPr>
          </w:p>
        </w:tc>
        <w:tc>
          <w:tcPr>
            <w:tcW w:w="435" w:type="dxa"/>
            <w:vAlign w:val="center"/>
          </w:tcPr>
          <w:p w:rsidRPr="009C32A8" w:rsidR="00606426" w:rsidP="007935BE" w:rsidRDefault="00606426" w14:paraId="5F9300B4" w14:textId="77777777">
            <w:pPr>
              <w:mirrorIndents/>
              <w:jc w:val="center"/>
              <w:rPr>
                <w:rFonts w:ascii="Segoe UI" w:hAnsi="Segoe UI" w:cs="Segoe UI"/>
                <w:sz w:val="24"/>
              </w:rPr>
            </w:pPr>
          </w:p>
        </w:tc>
      </w:tr>
      <w:tr w:rsidR="00606426" w:rsidTr="007935BE" w14:paraId="4AAB8645" w14:textId="77777777">
        <w:trPr>
          <w:trHeight w:val="425"/>
          <w:jc w:val="center"/>
        </w:trPr>
        <w:tc>
          <w:tcPr>
            <w:tcW w:w="856" w:type="dxa"/>
            <w:tcBorders>
              <w:right w:val="nil"/>
            </w:tcBorders>
            <w:vAlign w:val="center"/>
          </w:tcPr>
          <w:p w:rsidRPr="00922F7D" w:rsidR="00606426" w:rsidP="007935BE" w:rsidRDefault="00606426" w14:paraId="738F4D00" w14:textId="77777777">
            <w:pPr>
              <w:mirrorIndents/>
              <w:jc w:val="center"/>
              <w:rPr>
                <w:rFonts w:ascii="Segoe UI" w:hAnsi="Segoe UI" w:cs="Segoe UI"/>
                <w:sz w:val="16"/>
              </w:rPr>
            </w:pPr>
            <w:r w:rsidRPr="00922F7D">
              <w:rPr>
                <w:rFonts w:ascii="Segoe UI" w:hAnsi="Segoe UI" w:cs="Segoe UI"/>
                <w:sz w:val="16"/>
              </w:rPr>
              <w:t>iC18</w:t>
            </w:r>
          </w:p>
        </w:tc>
        <w:tc>
          <w:tcPr>
            <w:tcW w:w="3422" w:type="dxa"/>
            <w:tcBorders>
              <w:left w:val="nil"/>
            </w:tcBorders>
            <w:vAlign w:val="center"/>
          </w:tcPr>
          <w:p w:rsidRPr="00922F7D" w:rsidR="00606426" w:rsidP="007935BE" w:rsidRDefault="00606426" w14:paraId="5B89E293" w14:textId="77777777">
            <w:pPr>
              <w:mirrorIndents/>
              <w:rPr>
                <w:rFonts w:ascii="Segoe UI" w:hAnsi="Segoe UI" w:cs="Segoe UI"/>
                <w:sz w:val="16"/>
              </w:rPr>
            </w:pPr>
            <w:r w:rsidRPr="00FD3612">
              <w:rPr>
                <w:rFonts w:ascii="Segoe UI" w:hAnsi="Segoe UI" w:cs="Segoe UI"/>
                <w:sz w:val="16"/>
              </w:rPr>
              <w:t>Percentuale di laureati che si iscriverebbero di nuovo allo stesso corso di studio</w:t>
            </w:r>
          </w:p>
        </w:tc>
        <w:tc>
          <w:tcPr>
            <w:tcW w:w="435" w:type="dxa"/>
            <w:vAlign w:val="center"/>
          </w:tcPr>
          <w:p w:rsidRPr="000F3390" w:rsidR="00606426" w:rsidP="007935BE" w:rsidRDefault="000F3390" w14:paraId="53C5F8B1" w14:textId="6AF8E0EB">
            <w:pPr>
              <w:mirrorIndents/>
              <w:jc w:val="center"/>
              <w:rPr>
                <w:rFonts w:ascii="Segoe UI" w:hAnsi="Segoe UI" w:cs="Segoe UI"/>
                <w:b/>
                <w:bCs/>
                <w:sz w:val="24"/>
              </w:rPr>
            </w:pPr>
            <w:r w:rsidRPr="000F3390">
              <w:rPr>
                <w:rFonts w:ascii="Segoe UI" w:hAnsi="Segoe UI" w:cs="Segoe UI"/>
                <w:b/>
                <w:bCs/>
                <w:sz w:val="24"/>
              </w:rPr>
              <w:t>X</w:t>
            </w:r>
          </w:p>
        </w:tc>
        <w:tc>
          <w:tcPr>
            <w:tcW w:w="435" w:type="dxa"/>
            <w:vAlign w:val="center"/>
          </w:tcPr>
          <w:p w:rsidRPr="009C32A8" w:rsidR="00606426" w:rsidP="007935BE" w:rsidRDefault="00606426" w14:paraId="6CE28F97" w14:textId="77777777">
            <w:pPr>
              <w:mirrorIndents/>
              <w:jc w:val="center"/>
              <w:rPr>
                <w:rFonts w:ascii="Segoe UI" w:hAnsi="Segoe UI" w:cs="Segoe UI"/>
                <w:sz w:val="24"/>
              </w:rPr>
            </w:pPr>
          </w:p>
        </w:tc>
      </w:tr>
      <w:tr w:rsidR="00606426" w:rsidTr="007935BE" w14:paraId="6D41CB79" w14:textId="77777777">
        <w:trPr>
          <w:trHeight w:val="425"/>
          <w:jc w:val="center"/>
        </w:trPr>
        <w:tc>
          <w:tcPr>
            <w:tcW w:w="856" w:type="dxa"/>
            <w:tcBorders>
              <w:right w:val="nil"/>
            </w:tcBorders>
            <w:vAlign w:val="center"/>
          </w:tcPr>
          <w:p w:rsidRPr="00922F7D" w:rsidR="00606426" w:rsidP="007935BE" w:rsidRDefault="00606426" w14:paraId="314AECFE" w14:textId="77777777">
            <w:pPr>
              <w:mirrorIndents/>
              <w:jc w:val="center"/>
              <w:rPr>
                <w:rFonts w:ascii="Segoe UI" w:hAnsi="Segoe UI" w:cs="Segoe UI"/>
                <w:sz w:val="16"/>
              </w:rPr>
            </w:pPr>
            <w:r w:rsidRPr="00922F7D">
              <w:rPr>
                <w:rFonts w:ascii="Segoe UI" w:hAnsi="Segoe UI" w:cs="Segoe UI"/>
                <w:sz w:val="16"/>
              </w:rPr>
              <w:t>iC19</w:t>
            </w:r>
          </w:p>
        </w:tc>
        <w:tc>
          <w:tcPr>
            <w:tcW w:w="3422" w:type="dxa"/>
            <w:tcBorders>
              <w:left w:val="nil"/>
            </w:tcBorders>
            <w:vAlign w:val="center"/>
          </w:tcPr>
          <w:p w:rsidRPr="00922F7D" w:rsidR="00606426" w:rsidP="007935BE" w:rsidRDefault="00606426" w14:paraId="2272A3A4" w14:textId="77777777">
            <w:pPr>
              <w:mirrorIndents/>
              <w:rPr>
                <w:rFonts w:ascii="Segoe UI" w:hAnsi="Segoe UI" w:cs="Segoe UI"/>
                <w:sz w:val="16"/>
              </w:rPr>
            </w:pPr>
            <w:r w:rsidRPr="00FD3612">
              <w:rPr>
                <w:rFonts w:ascii="Segoe UI" w:hAnsi="Segoe UI" w:cs="Segoe UI"/>
                <w:sz w:val="16"/>
              </w:rPr>
              <w:t>Percentuale ore di docenza erogata da docenti assunti a tempo indeterminato sul totale delle ore di docenza erogata</w:t>
            </w:r>
          </w:p>
        </w:tc>
        <w:tc>
          <w:tcPr>
            <w:tcW w:w="435" w:type="dxa"/>
            <w:vAlign w:val="center"/>
          </w:tcPr>
          <w:p w:rsidRPr="000F3390" w:rsidR="00606426" w:rsidP="007935BE" w:rsidRDefault="000F3390" w14:paraId="22FC9C7A" w14:textId="68D97687">
            <w:pPr>
              <w:mirrorIndents/>
              <w:jc w:val="center"/>
              <w:rPr>
                <w:rFonts w:ascii="Segoe UI" w:hAnsi="Segoe UI" w:cs="Segoe UI"/>
                <w:b/>
                <w:bCs/>
                <w:sz w:val="24"/>
              </w:rPr>
            </w:pPr>
            <w:r w:rsidRPr="000F3390">
              <w:rPr>
                <w:rFonts w:ascii="Segoe UI" w:hAnsi="Segoe UI" w:cs="Segoe UI"/>
                <w:b/>
                <w:bCs/>
                <w:sz w:val="24"/>
              </w:rPr>
              <w:t>X</w:t>
            </w:r>
          </w:p>
        </w:tc>
        <w:tc>
          <w:tcPr>
            <w:tcW w:w="435" w:type="dxa"/>
            <w:vAlign w:val="center"/>
          </w:tcPr>
          <w:p w:rsidRPr="009C32A8" w:rsidR="00606426" w:rsidP="007935BE" w:rsidRDefault="00606426" w14:paraId="500BBC40" w14:textId="77777777">
            <w:pPr>
              <w:mirrorIndents/>
              <w:jc w:val="center"/>
              <w:rPr>
                <w:rFonts w:ascii="Segoe UI" w:hAnsi="Segoe UI" w:cs="Segoe UI"/>
                <w:sz w:val="24"/>
              </w:rPr>
            </w:pPr>
          </w:p>
        </w:tc>
      </w:tr>
      <w:tr w:rsidR="00606426" w:rsidTr="007935BE" w14:paraId="7A01B5BD" w14:textId="77777777">
        <w:trPr>
          <w:trHeight w:val="425"/>
          <w:jc w:val="center"/>
        </w:trPr>
        <w:tc>
          <w:tcPr>
            <w:tcW w:w="856" w:type="dxa"/>
            <w:tcBorders>
              <w:right w:val="nil"/>
            </w:tcBorders>
            <w:vAlign w:val="center"/>
          </w:tcPr>
          <w:p w:rsidRPr="00922F7D" w:rsidR="00606426" w:rsidP="007935BE" w:rsidRDefault="00606426" w14:paraId="1027D433" w14:textId="77777777">
            <w:pPr>
              <w:mirrorIndents/>
              <w:jc w:val="center"/>
              <w:rPr>
                <w:rFonts w:ascii="Segoe UI" w:hAnsi="Segoe UI" w:cs="Segoe UI"/>
                <w:sz w:val="16"/>
              </w:rPr>
            </w:pPr>
            <w:r w:rsidRPr="00922F7D">
              <w:rPr>
                <w:rFonts w:ascii="Segoe UI" w:hAnsi="Segoe UI" w:cs="Segoe UI"/>
                <w:sz w:val="16"/>
              </w:rPr>
              <w:t>iC20</w:t>
            </w:r>
          </w:p>
        </w:tc>
        <w:tc>
          <w:tcPr>
            <w:tcW w:w="3422" w:type="dxa"/>
            <w:tcBorders>
              <w:left w:val="nil"/>
            </w:tcBorders>
            <w:vAlign w:val="center"/>
          </w:tcPr>
          <w:p w:rsidRPr="00922F7D" w:rsidR="00606426" w:rsidP="007935BE" w:rsidRDefault="00606426" w14:paraId="63046A16" w14:textId="77777777">
            <w:pPr>
              <w:mirrorIndents/>
              <w:rPr>
                <w:rFonts w:ascii="Segoe UI" w:hAnsi="Segoe UI" w:cs="Segoe UI"/>
                <w:sz w:val="16"/>
              </w:rPr>
            </w:pPr>
            <w:r w:rsidRPr="00FD3612">
              <w:rPr>
                <w:rFonts w:ascii="Segoe UI" w:hAnsi="Segoe UI" w:cs="Segoe UI"/>
                <w:sz w:val="16"/>
              </w:rPr>
              <w:t>Percentuale tutor/studenti iscritti (per i corsi di studio prevalentemente o integralmente a distanza)</w:t>
            </w:r>
          </w:p>
        </w:tc>
        <w:tc>
          <w:tcPr>
            <w:tcW w:w="435" w:type="dxa"/>
            <w:vAlign w:val="center"/>
          </w:tcPr>
          <w:p w:rsidRPr="009C32A8" w:rsidR="00606426" w:rsidP="007935BE" w:rsidRDefault="00606426" w14:paraId="3B66CBB9" w14:textId="77777777">
            <w:pPr>
              <w:mirrorIndents/>
              <w:jc w:val="center"/>
              <w:rPr>
                <w:rFonts w:ascii="Segoe UI" w:hAnsi="Segoe UI" w:cs="Segoe UI"/>
                <w:sz w:val="24"/>
              </w:rPr>
            </w:pPr>
          </w:p>
        </w:tc>
        <w:tc>
          <w:tcPr>
            <w:tcW w:w="435" w:type="dxa"/>
            <w:vAlign w:val="center"/>
          </w:tcPr>
          <w:p w:rsidRPr="009C32A8" w:rsidR="00606426" w:rsidP="007935BE" w:rsidRDefault="00606426" w14:paraId="71A24A1A" w14:textId="77777777">
            <w:pPr>
              <w:mirrorIndents/>
              <w:jc w:val="center"/>
              <w:rPr>
                <w:rFonts w:ascii="Segoe UI" w:hAnsi="Segoe UI" w:cs="Segoe UI"/>
                <w:sz w:val="24"/>
              </w:rPr>
            </w:pPr>
          </w:p>
        </w:tc>
      </w:tr>
      <w:tr w:rsidR="00606426" w:rsidTr="007935BE" w14:paraId="30BD006B" w14:textId="77777777">
        <w:trPr>
          <w:trHeight w:val="425"/>
          <w:jc w:val="center"/>
        </w:trPr>
        <w:tc>
          <w:tcPr>
            <w:tcW w:w="5148" w:type="dxa"/>
            <w:gridSpan w:val="4"/>
            <w:shd w:val="clear" w:color="auto" w:fill="3366FF"/>
            <w:vAlign w:val="center"/>
          </w:tcPr>
          <w:p w:rsidRPr="00CA16B9" w:rsidR="00606426" w:rsidP="007935BE" w:rsidRDefault="00606426" w14:paraId="2EA5FBE3" w14:textId="77777777">
            <w:pPr>
              <w:mirrorIndents/>
              <w:jc w:val="center"/>
              <w:rPr>
                <w:rFonts w:ascii="Segoe UI" w:hAnsi="Segoe UI" w:cs="Segoe UI"/>
                <w:b/>
                <w:color w:val="FFFFFF" w:themeColor="background1"/>
                <w:sz w:val="16"/>
                <w:szCs w:val="16"/>
              </w:rPr>
            </w:pPr>
            <w:r w:rsidRPr="00CA16B9">
              <w:rPr>
                <w:rFonts w:ascii="Segoe UI" w:hAnsi="Segoe UI" w:cs="Segoe UI"/>
                <w:b/>
                <w:color w:val="FFFFFF" w:themeColor="background1"/>
                <w:sz w:val="16"/>
                <w:szCs w:val="16"/>
              </w:rPr>
              <w:t>INDICATORI DI APPROFONDIMENTO PER LA SPERIMENTAZIONE – PERCORSO DI STUDIO E REGOLARITÀ DELLE CARRIERE</w:t>
            </w:r>
          </w:p>
        </w:tc>
      </w:tr>
      <w:tr w:rsidR="00606426" w:rsidTr="007935BE" w14:paraId="06759A50" w14:textId="77777777">
        <w:trPr>
          <w:trHeight w:val="425"/>
          <w:jc w:val="center"/>
        </w:trPr>
        <w:tc>
          <w:tcPr>
            <w:tcW w:w="856" w:type="dxa"/>
            <w:tcBorders>
              <w:right w:val="nil"/>
            </w:tcBorders>
            <w:vAlign w:val="center"/>
          </w:tcPr>
          <w:p w:rsidRPr="00922F7D" w:rsidR="00606426" w:rsidP="007935BE" w:rsidRDefault="00606426" w14:paraId="5DC5D140" w14:textId="77777777">
            <w:pPr>
              <w:mirrorIndents/>
              <w:jc w:val="center"/>
              <w:rPr>
                <w:rFonts w:ascii="Segoe UI" w:hAnsi="Segoe UI" w:cs="Segoe UI"/>
                <w:sz w:val="16"/>
              </w:rPr>
            </w:pPr>
            <w:r>
              <w:rPr>
                <w:rFonts w:ascii="Segoe UI" w:hAnsi="Segoe UI" w:cs="Segoe UI"/>
                <w:sz w:val="16"/>
              </w:rPr>
              <w:t>iC21</w:t>
            </w:r>
          </w:p>
        </w:tc>
        <w:tc>
          <w:tcPr>
            <w:tcW w:w="3422" w:type="dxa"/>
            <w:tcBorders>
              <w:left w:val="nil"/>
            </w:tcBorders>
            <w:vAlign w:val="center"/>
          </w:tcPr>
          <w:p w:rsidRPr="00922F7D" w:rsidR="00606426" w:rsidP="007935BE" w:rsidRDefault="00606426" w14:paraId="08F96FED" w14:textId="77777777">
            <w:pPr>
              <w:mirrorIndents/>
              <w:rPr>
                <w:rFonts w:ascii="Segoe UI" w:hAnsi="Segoe UI" w:cs="Segoe UI"/>
                <w:sz w:val="16"/>
              </w:rPr>
            </w:pPr>
            <w:r w:rsidRPr="00FD3612">
              <w:rPr>
                <w:rFonts w:ascii="Segoe UI" w:hAnsi="Segoe UI" w:cs="Segoe UI"/>
                <w:sz w:val="16"/>
              </w:rPr>
              <w:t>Percentuale di studenti che proseguono la carriera nel sistema universitario al II anno</w:t>
            </w:r>
          </w:p>
        </w:tc>
        <w:tc>
          <w:tcPr>
            <w:tcW w:w="435" w:type="dxa"/>
            <w:vAlign w:val="center"/>
          </w:tcPr>
          <w:p w:rsidRPr="009C32A8" w:rsidR="00606426" w:rsidP="007935BE" w:rsidRDefault="00606426" w14:paraId="64478B3F" w14:textId="77777777">
            <w:pPr>
              <w:mirrorIndents/>
              <w:jc w:val="center"/>
              <w:rPr>
                <w:rFonts w:ascii="Segoe UI" w:hAnsi="Segoe UI" w:cs="Segoe UI"/>
                <w:sz w:val="24"/>
              </w:rPr>
            </w:pPr>
          </w:p>
        </w:tc>
        <w:tc>
          <w:tcPr>
            <w:tcW w:w="435" w:type="dxa"/>
            <w:vAlign w:val="center"/>
          </w:tcPr>
          <w:p w:rsidRPr="009C32A8" w:rsidR="00606426" w:rsidP="007935BE" w:rsidRDefault="00606426" w14:paraId="27B5D9E9" w14:textId="77777777">
            <w:pPr>
              <w:mirrorIndents/>
              <w:jc w:val="center"/>
              <w:rPr>
                <w:rFonts w:ascii="Segoe UI" w:hAnsi="Segoe UI" w:cs="Segoe UI"/>
                <w:sz w:val="24"/>
              </w:rPr>
            </w:pPr>
          </w:p>
        </w:tc>
      </w:tr>
      <w:tr w:rsidR="00606426" w:rsidTr="007935BE" w14:paraId="1F9EFCC6" w14:textId="77777777">
        <w:trPr>
          <w:trHeight w:val="425"/>
          <w:jc w:val="center"/>
        </w:trPr>
        <w:tc>
          <w:tcPr>
            <w:tcW w:w="856" w:type="dxa"/>
            <w:tcBorders>
              <w:right w:val="nil"/>
            </w:tcBorders>
            <w:vAlign w:val="center"/>
          </w:tcPr>
          <w:p w:rsidRPr="00922F7D" w:rsidR="00606426" w:rsidP="007935BE" w:rsidRDefault="00606426" w14:paraId="68AD9A4B" w14:textId="77777777">
            <w:pPr>
              <w:mirrorIndents/>
              <w:jc w:val="center"/>
              <w:rPr>
                <w:rFonts w:ascii="Segoe UI" w:hAnsi="Segoe UI" w:cs="Segoe UI"/>
                <w:sz w:val="16"/>
              </w:rPr>
            </w:pPr>
            <w:r>
              <w:rPr>
                <w:rFonts w:ascii="Segoe UI" w:hAnsi="Segoe UI" w:cs="Segoe UI"/>
                <w:sz w:val="16"/>
              </w:rPr>
              <w:t>iC22</w:t>
            </w:r>
          </w:p>
        </w:tc>
        <w:tc>
          <w:tcPr>
            <w:tcW w:w="3422" w:type="dxa"/>
            <w:tcBorders>
              <w:left w:val="nil"/>
            </w:tcBorders>
            <w:vAlign w:val="center"/>
          </w:tcPr>
          <w:p w:rsidRPr="00922F7D" w:rsidR="00606426" w:rsidP="007935BE" w:rsidRDefault="00606426" w14:paraId="67052807" w14:textId="77777777">
            <w:pPr>
              <w:mirrorIndents/>
              <w:rPr>
                <w:rFonts w:ascii="Segoe UI" w:hAnsi="Segoe UI" w:cs="Segoe UI"/>
                <w:sz w:val="16"/>
              </w:rPr>
            </w:pPr>
            <w:r w:rsidRPr="00FD3612">
              <w:rPr>
                <w:rFonts w:ascii="Segoe UI" w:hAnsi="Segoe UI" w:cs="Segoe UI"/>
                <w:sz w:val="16"/>
              </w:rPr>
              <w:t xml:space="preserve">Percentuale di immatricolati (L; LM; LMCU) che si laureano, nel </w:t>
            </w:r>
            <w:proofErr w:type="spellStart"/>
            <w:r w:rsidRPr="00FD3612">
              <w:rPr>
                <w:rFonts w:ascii="Segoe UI" w:hAnsi="Segoe UI" w:cs="Segoe UI"/>
                <w:sz w:val="16"/>
              </w:rPr>
              <w:t>CdS</w:t>
            </w:r>
            <w:proofErr w:type="spellEnd"/>
            <w:r w:rsidRPr="00FD3612">
              <w:rPr>
                <w:rFonts w:ascii="Segoe UI" w:hAnsi="Segoe UI" w:cs="Segoe UI"/>
                <w:sz w:val="16"/>
              </w:rPr>
              <w:t>, entro la durata normale del corso</w:t>
            </w:r>
          </w:p>
        </w:tc>
        <w:tc>
          <w:tcPr>
            <w:tcW w:w="435" w:type="dxa"/>
            <w:vAlign w:val="center"/>
          </w:tcPr>
          <w:p w:rsidRPr="009C32A8" w:rsidR="00606426" w:rsidP="007935BE" w:rsidRDefault="00606426" w14:paraId="4BDD8D41" w14:textId="77777777">
            <w:pPr>
              <w:mirrorIndents/>
              <w:jc w:val="center"/>
              <w:rPr>
                <w:rFonts w:ascii="Segoe UI" w:hAnsi="Segoe UI" w:cs="Segoe UI"/>
                <w:sz w:val="24"/>
              </w:rPr>
            </w:pPr>
          </w:p>
        </w:tc>
        <w:tc>
          <w:tcPr>
            <w:tcW w:w="435" w:type="dxa"/>
            <w:vAlign w:val="center"/>
          </w:tcPr>
          <w:p w:rsidRPr="005D4809" w:rsidR="00606426" w:rsidP="007935BE" w:rsidRDefault="005D4809" w14:paraId="0D80C1FF" w14:textId="4FC93462">
            <w:pPr>
              <w:mirrorIndents/>
              <w:jc w:val="center"/>
              <w:rPr>
                <w:rFonts w:ascii="Segoe UI" w:hAnsi="Segoe UI" w:cs="Segoe UI"/>
                <w:b/>
                <w:bCs/>
                <w:sz w:val="24"/>
              </w:rPr>
            </w:pPr>
            <w:r w:rsidRPr="005D4809">
              <w:rPr>
                <w:rFonts w:ascii="Segoe UI" w:hAnsi="Segoe UI" w:cs="Segoe UI"/>
                <w:b/>
                <w:bCs/>
                <w:sz w:val="24"/>
              </w:rPr>
              <w:t>X</w:t>
            </w:r>
          </w:p>
        </w:tc>
      </w:tr>
      <w:tr w:rsidR="00606426" w:rsidTr="007935BE" w14:paraId="186A8582" w14:textId="77777777">
        <w:trPr>
          <w:trHeight w:val="425"/>
          <w:jc w:val="center"/>
        </w:trPr>
        <w:tc>
          <w:tcPr>
            <w:tcW w:w="856" w:type="dxa"/>
            <w:tcBorders>
              <w:right w:val="nil"/>
            </w:tcBorders>
            <w:vAlign w:val="center"/>
          </w:tcPr>
          <w:p w:rsidRPr="00922F7D" w:rsidR="00606426" w:rsidP="007935BE" w:rsidRDefault="00606426" w14:paraId="3154070E" w14:textId="77777777">
            <w:pPr>
              <w:mirrorIndents/>
              <w:jc w:val="center"/>
              <w:rPr>
                <w:rFonts w:ascii="Segoe UI" w:hAnsi="Segoe UI" w:cs="Segoe UI"/>
                <w:sz w:val="16"/>
              </w:rPr>
            </w:pPr>
            <w:r>
              <w:rPr>
                <w:rFonts w:ascii="Segoe UI" w:hAnsi="Segoe UI" w:cs="Segoe UI"/>
                <w:sz w:val="16"/>
              </w:rPr>
              <w:t>iC23</w:t>
            </w:r>
          </w:p>
        </w:tc>
        <w:tc>
          <w:tcPr>
            <w:tcW w:w="3422" w:type="dxa"/>
            <w:tcBorders>
              <w:left w:val="nil"/>
            </w:tcBorders>
            <w:vAlign w:val="center"/>
          </w:tcPr>
          <w:p w:rsidRPr="00922F7D" w:rsidR="00606426" w:rsidP="007935BE" w:rsidRDefault="00606426" w14:paraId="7F9F76BA" w14:textId="77777777">
            <w:pPr>
              <w:mirrorIndents/>
              <w:rPr>
                <w:rFonts w:ascii="Segoe UI" w:hAnsi="Segoe UI" w:cs="Segoe UI"/>
                <w:sz w:val="16"/>
              </w:rPr>
            </w:pPr>
            <w:r w:rsidRPr="00FD3612">
              <w:rPr>
                <w:rFonts w:ascii="Segoe UI" w:hAnsi="Segoe UI" w:cs="Segoe UI"/>
                <w:sz w:val="16"/>
              </w:rPr>
              <w:t xml:space="preserve">Percentuale di immatricolati (L; LM; LMCU) che proseguono la carriera al secondo anno in un differente </w:t>
            </w:r>
            <w:proofErr w:type="spellStart"/>
            <w:r w:rsidRPr="00FD3612">
              <w:rPr>
                <w:rFonts w:ascii="Segoe UI" w:hAnsi="Segoe UI" w:cs="Segoe UI"/>
                <w:sz w:val="16"/>
              </w:rPr>
              <w:t>CdS</w:t>
            </w:r>
            <w:proofErr w:type="spellEnd"/>
            <w:r w:rsidRPr="00FD3612">
              <w:rPr>
                <w:rFonts w:ascii="Segoe UI" w:hAnsi="Segoe UI" w:cs="Segoe UI"/>
                <w:sz w:val="16"/>
              </w:rPr>
              <w:t xml:space="preserve"> dell'Ateneo</w:t>
            </w:r>
          </w:p>
        </w:tc>
        <w:tc>
          <w:tcPr>
            <w:tcW w:w="435" w:type="dxa"/>
            <w:vAlign w:val="center"/>
          </w:tcPr>
          <w:p w:rsidRPr="009C32A8" w:rsidR="00606426" w:rsidP="007935BE" w:rsidRDefault="00606426" w14:paraId="239ACB30" w14:textId="77777777">
            <w:pPr>
              <w:mirrorIndents/>
              <w:jc w:val="center"/>
              <w:rPr>
                <w:rFonts w:ascii="Segoe UI" w:hAnsi="Segoe UI" w:cs="Segoe UI"/>
                <w:sz w:val="24"/>
              </w:rPr>
            </w:pPr>
          </w:p>
        </w:tc>
        <w:tc>
          <w:tcPr>
            <w:tcW w:w="435" w:type="dxa"/>
            <w:vAlign w:val="center"/>
          </w:tcPr>
          <w:p w:rsidRPr="009C32A8" w:rsidR="00606426" w:rsidP="007935BE" w:rsidRDefault="00606426" w14:paraId="0471AF9B" w14:textId="77777777">
            <w:pPr>
              <w:mirrorIndents/>
              <w:jc w:val="center"/>
              <w:rPr>
                <w:rFonts w:ascii="Segoe UI" w:hAnsi="Segoe UI" w:cs="Segoe UI"/>
                <w:sz w:val="24"/>
              </w:rPr>
            </w:pPr>
          </w:p>
        </w:tc>
      </w:tr>
      <w:tr w:rsidR="00606426" w:rsidTr="007935BE" w14:paraId="11514232" w14:textId="77777777">
        <w:trPr>
          <w:trHeight w:val="425"/>
          <w:jc w:val="center"/>
        </w:trPr>
        <w:tc>
          <w:tcPr>
            <w:tcW w:w="856" w:type="dxa"/>
            <w:tcBorders>
              <w:right w:val="nil"/>
            </w:tcBorders>
            <w:vAlign w:val="center"/>
          </w:tcPr>
          <w:p w:rsidRPr="00922F7D" w:rsidR="00606426" w:rsidP="007935BE" w:rsidRDefault="00606426" w14:paraId="4990888B" w14:textId="77777777">
            <w:pPr>
              <w:mirrorIndents/>
              <w:jc w:val="center"/>
              <w:rPr>
                <w:rFonts w:ascii="Segoe UI" w:hAnsi="Segoe UI" w:cs="Segoe UI"/>
                <w:sz w:val="16"/>
              </w:rPr>
            </w:pPr>
            <w:r w:rsidRPr="00922F7D">
              <w:rPr>
                <w:rFonts w:ascii="Segoe UI" w:hAnsi="Segoe UI" w:cs="Segoe UI"/>
                <w:sz w:val="16"/>
              </w:rPr>
              <w:t>iC2</w:t>
            </w:r>
            <w:r>
              <w:rPr>
                <w:rFonts w:ascii="Segoe UI" w:hAnsi="Segoe UI" w:cs="Segoe UI"/>
                <w:sz w:val="16"/>
              </w:rPr>
              <w:t>4</w:t>
            </w:r>
          </w:p>
        </w:tc>
        <w:tc>
          <w:tcPr>
            <w:tcW w:w="3422" w:type="dxa"/>
            <w:tcBorders>
              <w:left w:val="nil"/>
            </w:tcBorders>
            <w:vAlign w:val="center"/>
          </w:tcPr>
          <w:p w:rsidRPr="00922F7D" w:rsidR="00606426" w:rsidP="007935BE" w:rsidRDefault="00606426" w14:paraId="48D31ECD" w14:textId="77777777">
            <w:pPr>
              <w:mirrorIndents/>
              <w:rPr>
                <w:rFonts w:ascii="Segoe UI" w:hAnsi="Segoe UI" w:cs="Segoe UI"/>
                <w:sz w:val="16"/>
              </w:rPr>
            </w:pPr>
            <w:r w:rsidRPr="00FD3612">
              <w:rPr>
                <w:rFonts w:ascii="Segoe UI" w:hAnsi="Segoe UI" w:cs="Segoe UI"/>
                <w:sz w:val="16"/>
              </w:rPr>
              <w:t xml:space="preserve">Percentuale di abbandoni del </w:t>
            </w:r>
            <w:proofErr w:type="spellStart"/>
            <w:r w:rsidRPr="00FD3612">
              <w:rPr>
                <w:rFonts w:ascii="Segoe UI" w:hAnsi="Segoe UI" w:cs="Segoe UI"/>
                <w:sz w:val="16"/>
              </w:rPr>
              <w:t>CdS</w:t>
            </w:r>
            <w:proofErr w:type="spellEnd"/>
            <w:r w:rsidRPr="00FD3612">
              <w:rPr>
                <w:rFonts w:ascii="Segoe UI" w:hAnsi="Segoe UI" w:cs="Segoe UI"/>
                <w:sz w:val="16"/>
              </w:rPr>
              <w:t xml:space="preserve"> dopo N+1 anni</w:t>
            </w:r>
          </w:p>
        </w:tc>
        <w:tc>
          <w:tcPr>
            <w:tcW w:w="435" w:type="dxa"/>
            <w:vAlign w:val="center"/>
          </w:tcPr>
          <w:p w:rsidRPr="009C32A8" w:rsidR="00606426" w:rsidP="007935BE" w:rsidRDefault="00606426" w14:paraId="6651844C" w14:textId="77777777">
            <w:pPr>
              <w:mirrorIndents/>
              <w:jc w:val="center"/>
              <w:rPr>
                <w:rFonts w:ascii="Segoe UI" w:hAnsi="Segoe UI" w:cs="Segoe UI"/>
                <w:sz w:val="24"/>
              </w:rPr>
            </w:pPr>
          </w:p>
        </w:tc>
        <w:tc>
          <w:tcPr>
            <w:tcW w:w="435" w:type="dxa"/>
            <w:vAlign w:val="center"/>
          </w:tcPr>
          <w:p w:rsidRPr="009C32A8" w:rsidR="00606426" w:rsidP="007935BE" w:rsidRDefault="00606426" w14:paraId="604D520A" w14:textId="77777777">
            <w:pPr>
              <w:mirrorIndents/>
              <w:jc w:val="center"/>
              <w:rPr>
                <w:rFonts w:ascii="Segoe UI" w:hAnsi="Segoe UI" w:cs="Segoe UI"/>
                <w:sz w:val="24"/>
              </w:rPr>
            </w:pPr>
          </w:p>
        </w:tc>
      </w:tr>
      <w:tr w:rsidR="00606426" w:rsidTr="007935BE" w14:paraId="46C6530D" w14:textId="77777777">
        <w:trPr>
          <w:trHeight w:val="425"/>
          <w:jc w:val="center"/>
        </w:trPr>
        <w:tc>
          <w:tcPr>
            <w:tcW w:w="5148" w:type="dxa"/>
            <w:gridSpan w:val="4"/>
            <w:shd w:val="clear" w:color="auto" w:fill="3366FF"/>
            <w:vAlign w:val="center"/>
          </w:tcPr>
          <w:p w:rsidRPr="00CA16B9" w:rsidR="00606426" w:rsidP="007935BE" w:rsidRDefault="00606426" w14:paraId="7565359A" w14:textId="77777777">
            <w:pPr>
              <w:mirrorIndents/>
              <w:jc w:val="center"/>
              <w:rPr>
                <w:rFonts w:ascii="Segoe UI" w:hAnsi="Segoe UI" w:cs="Segoe UI"/>
                <w:b/>
                <w:color w:val="FFFFFF" w:themeColor="background1"/>
                <w:sz w:val="16"/>
                <w:szCs w:val="16"/>
              </w:rPr>
            </w:pPr>
            <w:r w:rsidRPr="00CA16B9">
              <w:rPr>
                <w:rFonts w:ascii="Segoe UI" w:hAnsi="Segoe UI" w:cs="Segoe UI"/>
                <w:b/>
                <w:color w:val="FFFFFF" w:themeColor="background1"/>
                <w:sz w:val="16"/>
                <w:szCs w:val="16"/>
              </w:rPr>
              <w:t>INDICATORI DI APPROFONDIMENTO PER LA SPERIMENTAZIONE – SODDISFAZIONE E OCCUPABILITÀ</w:t>
            </w:r>
          </w:p>
        </w:tc>
      </w:tr>
      <w:tr w:rsidR="00606426" w:rsidTr="007935BE" w14:paraId="2AC6372D" w14:textId="77777777">
        <w:trPr>
          <w:trHeight w:val="425"/>
          <w:jc w:val="center"/>
        </w:trPr>
        <w:tc>
          <w:tcPr>
            <w:tcW w:w="856" w:type="dxa"/>
            <w:tcBorders>
              <w:right w:val="nil"/>
            </w:tcBorders>
            <w:vAlign w:val="center"/>
          </w:tcPr>
          <w:p w:rsidRPr="00994E65" w:rsidR="00606426" w:rsidP="007935BE" w:rsidRDefault="00606426" w14:paraId="416CE82C" w14:textId="77777777">
            <w:pPr>
              <w:mirrorIndents/>
              <w:jc w:val="center"/>
              <w:rPr>
                <w:rFonts w:ascii="Segoe UI" w:hAnsi="Segoe UI" w:cs="Segoe UI"/>
                <w:sz w:val="16"/>
              </w:rPr>
            </w:pPr>
            <w:r>
              <w:rPr>
                <w:rFonts w:ascii="Segoe UI" w:hAnsi="Segoe UI" w:cs="Segoe UI"/>
                <w:sz w:val="16"/>
              </w:rPr>
              <w:t>iC25</w:t>
            </w:r>
          </w:p>
        </w:tc>
        <w:tc>
          <w:tcPr>
            <w:tcW w:w="3422" w:type="dxa"/>
            <w:tcBorders>
              <w:left w:val="nil"/>
            </w:tcBorders>
            <w:vAlign w:val="center"/>
          </w:tcPr>
          <w:p w:rsidRPr="00994E65" w:rsidR="00606426" w:rsidP="007935BE" w:rsidRDefault="00606426" w14:paraId="0A13C0A5" w14:textId="77777777">
            <w:pPr>
              <w:mirrorIndents/>
              <w:rPr>
                <w:rFonts w:ascii="Segoe UI" w:hAnsi="Segoe UI" w:cs="Segoe UI"/>
                <w:sz w:val="16"/>
              </w:rPr>
            </w:pPr>
            <w:r w:rsidRPr="00FD3612">
              <w:rPr>
                <w:rFonts w:ascii="Segoe UI" w:hAnsi="Segoe UI" w:cs="Segoe UI"/>
                <w:sz w:val="16"/>
              </w:rPr>
              <w:t xml:space="preserve">Percentuale di laureandi complessivamente soddisfatti del </w:t>
            </w:r>
            <w:proofErr w:type="spellStart"/>
            <w:r w:rsidRPr="00FD3612">
              <w:rPr>
                <w:rFonts w:ascii="Segoe UI" w:hAnsi="Segoe UI" w:cs="Segoe UI"/>
                <w:sz w:val="16"/>
              </w:rPr>
              <w:t>CdS</w:t>
            </w:r>
            <w:proofErr w:type="spellEnd"/>
          </w:p>
        </w:tc>
        <w:tc>
          <w:tcPr>
            <w:tcW w:w="435" w:type="dxa"/>
            <w:vAlign w:val="center"/>
          </w:tcPr>
          <w:p w:rsidRPr="005D4809" w:rsidR="00606426" w:rsidP="007935BE" w:rsidRDefault="005D4809" w14:paraId="32D2398F" w14:textId="74EB857D">
            <w:pPr>
              <w:mirrorIndents/>
              <w:jc w:val="center"/>
              <w:rPr>
                <w:rFonts w:ascii="Segoe UI" w:hAnsi="Segoe UI" w:cs="Segoe UI"/>
                <w:b/>
                <w:bCs/>
                <w:sz w:val="24"/>
              </w:rPr>
            </w:pPr>
            <w:r w:rsidRPr="005D4809">
              <w:rPr>
                <w:rFonts w:ascii="Segoe UI" w:hAnsi="Segoe UI" w:cs="Segoe UI"/>
                <w:b/>
                <w:bCs/>
                <w:sz w:val="24"/>
              </w:rPr>
              <w:t>X</w:t>
            </w:r>
          </w:p>
        </w:tc>
        <w:tc>
          <w:tcPr>
            <w:tcW w:w="435" w:type="dxa"/>
            <w:vAlign w:val="center"/>
          </w:tcPr>
          <w:p w:rsidRPr="009C32A8" w:rsidR="00606426" w:rsidP="007935BE" w:rsidRDefault="00606426" w14:paraId="45F6DE98" w14:textId="77777777">
            <w:pPr>
              <w:mirrorIndents/>
              <w:jc w:val="center"/>
              <w:rPr>
                <w:rFonts w:ascii="Segoe UI" w:hAnsi="Segoe UI" w:cs="Segoe UI"/>
                <w:sz w:val="24"/>
              </w:rPr>
            </w:pPr>
          </w:p>
        </w:tc>
      </w:tr>
      <w:tr w:rsidR="00606426" w:rsidTr="007935BE" w14:paraId="399D59BA" w14:textId="77777777">
        <w:trPr>
          <w:trHeight w:val="425"/>
          <w:jc w:val="center"/>
        </w:trPr>
        <w:tc>
          <w:tcPr>
            <w:tcW w:w="856" w:type="dxa"/>
            <w:tcBorders>
              <w:right w:val="nil"/>
            </w:tcBorders>
            <w:vAlign w:val="center"/>
          </w:tcPr>
          <w:p w:rsidR="00606426" w:rsidP="007935BE" w:rsidRDefault="00606426" w14:paraId="113F778B" w14:textId="77777777">
            <w:pPr>
              <w:mirrorIndents/>
              <w:jc w:val="center"/>
              <w:rPr>
                <w:rFonts w:ascii="Segoe UI" w:hAnsi="Segoe UI" w:cs="Segoe UI"/>
                <w:sz w:val="16"/>
              </w:rPr>
            </w:pPr>
            <w:r>
              <w:rPr>
                <w:rFonts w:ascii="Segoe UI" w:hAnsi="Segoe UI" w:cs="Segoe UI"/>
                <w:sz w:val="16"/>
              </w:rPr>
              <w:t>iC26</w:t>
            </w:r>
          </w:p>
        </w:tc>
        <w:tc>
          <w:tcPr>
            <w:tcW w:w="3422" w:type="dxa"/>
            <w:tcBorders>
              <w:left w:val="nil"/>
            </w:tcBorders>
            <w:vAlign w:val="center"/>
          </w:tcPr>
          <w:p w:rsidR="00606426" w:rsidP="007935BE" w:rsidRDefault="00606426" w14:paraId="4AD9B9D5" w14:textId="77777777">
            <w:pPr>
              <w:mirrorIndents/>
              <w:rPr>
                <w:rFonts w:ascii="Segoe UI" w:hAnsi="Segoe UI" w:cs="Segoe UI"/>
                <w:sz w:val="16"/>
              </w:rPr>
            </w:pPr>
            <w:r w:rsidRPr="00E90194">
              <w:rPr>
                <w:rFonts w:ascii="Segoe UI" w:hAnsi="Segoe UI" w:cs="Segoe UI"/>
                <w:sz w:val="16"/>
              </w:rPr>
              <w:t>Percentuale di Laureati occupati a un anno dal Titolo (LM; LMCU) - Laureati che dichiarano di svolgere un’attività lavorativa o di formazione retribuita (es. dottorato con borsa, specializzazione in medicina, ecc.)</w:t>
            </w:r>
          </w:p>
        </w:tc>
        <w:tc>
          <w:tcPr>
            <w:tcW w:w="435" w:type="dxa"/>
            <w:vAlign w:val="center"/>
          </w:tcPr>
          <w:p w:rsidRPr="009C32A8" w:rsidR="00606426" w:rsidP="007935BE" w:rsidRDefault="00606426" w14:paraId="1DBAEBE9" w14:textId="77777777">
            <w:pPr>
              <w:mirrorIndents/>
              <w:jc w:val="center"/>
              <w:rPr>
                <w:rFonts w:ascii="Segoe UI" w:hAnsi="Segoe UI" w:cs="Segoe UI"/>
                <w:sz w:val="24"/>
              </w:rPr>
            </w:pPr>
          </w:p>
        </w:tc>
        <w:tc>
          <w:tcPr>
            <w:tcW w:w="435" w:type="dxa"/>
            <w:vAlign w:val="center"/>
          </w:tcPr>
          <w:p w:rsidRPr="009C32A8" w:rsidR="00606426" w:rsidP="007935BE" w:rsidRDefault="00606426" w14:paraId="26F900B8" w14:textId="77777777">
            <w:pPr>
              <w:mirrorIndents/>
              <w:jc w:val="center"/>
              <w:rPr>
                <w:rFonts w:ascii="Segoe UI" w:hAnsi="Segoe UI" w:cs="Segoe UI"/>
                <w:sz w:val="24"/>
              </w:rPr>
            </w:pPr>
          </w:p>
        </w:tc>
      </w:tr>
      <w:tr w:rsidR="00606426" w:rsidTr="007935BE" w14:paraId="10CBF7D7" w14:textId="77777777">
        <w:trPr>
          <w:trHeight w:val="425"/>
          <w:jc w:val="center"/>
        </w:trPr>
        <w:tc>
          <w:tcPr>
            <w:tcW w:w="856" w:type="dxa"/>
            <w:tcBorders>
              <w:right w:val="nil"/>
            </w:tcBorders>
            <w:vAlign w:val="center"/>
          </w:tcPr>
          <w:p w:rsidR="00606426" w:rsidP="007935BE" w:rsidRDefault="00606426" w14:paraId="648807F7" w14:textId="77777777">
            <w:pPr>
              <w:mirrorIndents/>
              <w:jc w:val="center"/>
              <w:rPr>
                <w:rFonts w:ascii="Segoe UI" w:hAnsi="Segoe UI" w:cs="Segoe UI"/>
                <w:sz w:val="16"/>
              </w:rPr>
            </w:pPr>
            <w:r>
              <w:rPr>
                <w:rFonts w:ascii="Segoe UI" w:hAnsi="Segoe UI" w:cs="Segoe UI"/>
                <w:sz w:val="16"/>
              </w:rPr>
              <w:t>iC26BIS</w:t>
            </w:r>
          </w:p>
        </w:tc>
        <w:tc>
          <w:tcPr>
            <w:tcW w:w="3422" w:type="dxa"/>
            <w:tcBorders>
              <w:left w:val="nil"/>
            </w:tcBorders>
            <w:vAlign w:val="center"/>
          </w:tcPr>
          <w:p w:rsidR="00606426" w:rsidP="007935BE" w:rsidRDefault="00606426" w14:paraId="51A66EF0" w14:textId="77777777">
            <w:pPr>
              <w:mirrorIndents/>
              <w:rPr>
                <w:rFonts w:ascii="Segoe UI" w:hAnsi="Segoe UI" w:cs="Segoe UI"/>
                <w:sz w:val="16"/>
              </w:rPr>
            </w:pPr>
            <w:r w:rsidRPr="00E90194">
              <w:rPr>
                <w:rFonts w:ascii="Segoe UI" w:hAnsi="Segoe UI" w:cs="Segoe UI"/>
                <w:sz w:val="16"/>
              </w:rPr>
              <w:t>Percentuale di Laureati occupati a un anno dal Titolo (LM; LMCU) - laureati che dichiarano di svolgere un’attività lavorativa e regolamentata da un contratto, o di svolgere attività di formazione retribuita (es. dottorato con borsa, specializzazione in medicina, ecc.)</w:t>
            </w:r>
          </w:p>
        </w:tc>
        <w:tc>
          <w:tcPr>
            <w:tcW w:w="435" w:type="dxa"/>
            <w:vAlign w:val="center"/>
          </w:tcPr>
          <w:p w:rsidRPr="009C32A8" w:rsidR="00606426" w:rsidP="007935BE" w:rsidRDefault="00606426" w14:paraId="78FACFB7" w14:textId="77777777">
            <w:pPr>
              <w:mirrorIndents/>
              <w:jc w:val="center"/>
              <w:rPr>
                <w:rFonts w:ascii="Segoe UI" w:hAnsi="Segoe UI" w:cs="Segoe UI"/>
                <w:sz w:val="24"/>
              </w:rPr>
            </w:pPr>
          </w:p>
        </w:tc>
        <w:tc>
          <w:tcPr>
            <w:tcW w:w="435" w:type="dxa"/>
            <w:vAlign w:val="center"/>
          </w:tcPr>
          <w:p w:rsidRPr="009C32A8" w:rsidR="00606426" w:rsidP="007935BE" w:rsidRDefault="00606426" w14:paraId="48FF9A36" w14:textId="77777777">
            <w:pPr>
              <w:mirrorIndents/>
              <w:jc w:val="center"/>
              <w:rPr>
                <w:rFonts w:ascii="Segoe UI" w:hAnsi="Segoe UI" w:cs="Segoe UI"/>
                <w:sz w:val="24"/>
              </w:rPr>
            </w:pPr>
          </w:p>
        </w:tc>
      </w:tr>
      <w:tr w:rsidR="00606426" w:rsidTr="007935BE" w14:paraId="4E9AF4C3" w14:textId="77777777">
        <w:trPr>
          <w:trHeight w:val="425"/>
          <w:jc w:val="center"/>
        </w:trPr>
        <w:tc>
          <w:tcPr>
            <w:tcW w:w="856" w:type="dxa"/>
            <w:tcBorders>
              <w:right w:val="nil"/>
            </w:tcBorders>
            <w:vAlign w:val="center"/>
          </w:tcPr>
          <w:p w:rsidRPr="00994E65" w:rsidR="00606426" w:rsidP="007935BE" w:rsidRDefault="00606426" w14:paraId="7BEFADFF" w14:textId="77777777">
            <w:pPr>
              <w:mirrorIndents/>
              <w:jc w:val="center"/>
              <w:rPr>
                <w:rFonts w:ascii="Segoe UI" w:hAnsi="Segoe UI" w:cs="Segoe UI"/>
                <w:sz w:val="16"/>
              </w:rPr>
            </w:pPr>
            <w:r>
              <w:rPr>
                <w:rFonts w:ascii="Segoe UI" w:hAnsi="Segoe UI" w:cs="Segoe UI"/>
                <w:sz w:val="16"/>
              </w:rPr>
              <w:t>iC26TER</w:t>
            </w:r>
          </w:p>
        </w:tc>
        <w:tc>
          <w:tcPr>
            <w:tcW w:w="3422" w:type="dxa"/>
            <w:tcBorders>
              <w:left w:val="nil"/>
            </w:tcBorders>
            <w:vAlign w:val="center"/>
          </w:tcPr>
          <w:p w:rsidRPr="00994E65" w:rsidR="00606426" w:rsidP="007935BE" w:rsidRDefault="00606426" w14:paraId="34F30700" w14:textId="77777777">
            <w:pPr>
              <w:mirrorIndents/>
              <w:rPr>
                <w:rFonts w:ascii="Segoe UI" w:hAnsi="Segoe UI" w:cs="Segoe UI"/>
                <w:sz w:val="16"/>
              </w:rPr>
            </w:pPr>
            <w:r w:rsidRPr="00E90194">
              <w:rPr>
                <w:rFonts w:ascii="Segoe UI" w:hAnsi="Segoe UI" w:cs="Segoe UI"/>
                <w:sz w:val="16"/>
              </w:rPr>
              <w:t>Percentuale di Laureati occupati a un anno dal Titolo (LM; LMCU) - Laureati non impegnati in formazione non retribuita che dichiarano di svolgere un’attività lavorativa e regolamentata da un contratto</w:t>
            </w:r>
          </w:p>
        </w:tc>
        <w:tc>
          <w:tcPr>
            <w:tcW w:w="435" w:type="dxa"/>
            <w:vAlign w:val="center"/>
          </w:tcPr>
          <w:p w:rsidRPr="009C32A8" w:rsidR="00606426" w:rsidP="007935BE" w:rsidRDefault="00606426" w14:paraId="6A604C1C" w14:textId="77777777">
            <w:pPr>
              <w:mirrorIndents/>
              <w:jc w:val="center"/>
              <w:rPr>
                <w:rFonts w:ascii="Segoe UI" w:hAnsi="Segoe UI" w:cs="Segoe UI"/>
                <w:sz w:val="24"/>
              </w:rPr>
            </w:pPr>
          </w:p>
        </w:tc>
        <w:tc>
          <w:tcPr>
            <w:tcW w:w="435" w:type="dxa"/>
            <w:vAlign w:val="center"/>
          </w:tcPr>
          <w:p w:rsidRPr="009C32A8" w:rsidR="00606426" w:rsidP="007935BE" w:rsidRDefault="00606426" w14:paraId="0B54C875" w14:textId="77777777">
            <w:pPr>
              <w:mirrorIndents/>
              <w:jc w:val="center"/>
              <w:rPr>
                <w:rFonts w:ascii="Segoe UI" w:hAnsi="Segoe UI" w:cs="Segoe UI"/>
                <w:sz w:val="24"/>
              </w:rPr>
            </w:pPr>
          </w:p>
        </w:tc>
      </w:tr>
      <w:tr w:rsidR="00606426" w:rsidTr="007935BE" w14:paraId="64A38374" w14:textId="77777777">
        <w:trPr>
          <w:trHeight w:val="425"/>
          <w:jc w:val="center"/>
        </w:trPr>
        <w:tc>
          <w:tcPr>
            <w:tcW w:w="5148" w:type="dxa"/>
            <w:gridSpan w:val="4"/>
            <w:shd w:val="clear" w:color="auto" w:fill="3366FF"/>
            <w:vAlign w:val="center"/>
          </w:tcPr>
          <w:p w:rsidRPr="003258D6" w:rsidR="00606426" w:rsidP="007935BE" w:rsidRDefault="00606426" w14:paraId="29ACC8E3" w14:textId="77777777">
            <w:pPr>
              <w:mirrorIndents/>
              <w:jc w:val="center"/>
              <w:rPr>
                <w:rFonts w:ascii="Segoe UI" w:hAnsi="Segoe UI" w:cs="Segoe UI"/>
                <w:b/>
                <w:color w:val="FFFFFF" w:themeColor="background1"/>
                <w:sz w:val="16"/>
                <w:szCs w:val="16"/>
              </w:rPr>
            </w:pPr>
            <w:r w:rsidRPr="003258D6">
              <w:rPr>
                <w:rFonts w:ascii="Segoe UI" w:hAnsi="Segoe UI" w:cs="Segoe UI"/>
                <w:b/>
                <w:color w:val="FFFFFF" w:themeColor="background1"/>
                <w:sz w:val="16"/>
                <w:szCs w:val="16"/>
              </w:rPr>
              <w:t>INDICATORI DI APPROFONDIMENTO PER LA SPERIMENTAZIONE – CONSISTENZA E QUALIFICAZIONE DEL CORPO DOCENTE</w:t>
            </w:r>
          </w:p>
        </w:tc>
      </w:tr>
      <w:tr w:rsidR="00606426" w:rsidTr="007935BE" w14:paraId="657FEE9B" w14:textId="77777777">
        <w:trPr>
          <w:trHeight w:val="425"/>
          <w:jc w:val="center"/>
        </w:trPr>
        <w:tc>
          <w:tcPr>
            <w:tcW w:w="856" w:type="dxa"/>
            <w:tcBorders>
              <w:right w:val="nil"/>
            </w:tcBorders>
            <w:vAlign w:val="center"/>
          </w:tcPr>
          <w:p w:rsidRPr="00994E65" w:rsidR="00606426" w:rsidP="007935BE" w:rsidRDefault="00606426" w14:paraId="6FF6F4EB" w14:textId="77777777">
            <w:pPr>
              <w:mirrorIndents/>
              <w:jc w:val="center"/>
              <w:rPr>
                <w:rFonts w:ascii="Segoe UI" w:hAnsi="Segoe UI" w:cs="Segoe UI"/>
                <w:sz w:val="16"/>
              </w:rPr>
            </w:pPr>
            <w:r>
              <w:rPr>
                <w:rFonts w:ascii="Segoe UI" w:hAnsi="Segoe UI" w:cs="Segoe UI"/>
                <w:sz w:val="16"/>
              </w:rPr>
              <w:t>iC27</w:t>
            </w:r>
          </w:p>
        </w:tc>
        <w:tc>
          <w:tcPr>
            <w:tcW w:w="3422" w:type="dxa"/>
            <w:tcBorders>
              <w:left w:val="nil"/>
            </w:tcBorders>
            <w:vAlign w:val="center"/>
          </w:tcPr>
          <w:p w:rsidRPr="00994E65" w:rsidR="00606426" w:rsidP="007935BE" w:rsidRDefault="00606426" w14:paraId="701EDE45" w14:textId="77777777">
            <w:pPr>
              <w:mirrorIndents/>
              <w:rPr>
                <w:rFonts w:ascii="Segoe UI" w:hAnsi="Segoe UI" w:cs="Segoe UI"/>
                <w:sz w:val="16"/>
              </w:rPr>
            </w:pPr>
            <w:r w:rsidRPr="00E90194">
              <w:rPr>
                <w:rFonts w:ascii="Segoe UI" w:hAnsi="Segoe UI" w:cs="Segoe UI"/>
                <w:sz w:val="16"/>
              </w:rPr>
              <w:t>Rapporto studenti iscritti/docenti complessivo (pesato per le ore di docenza)</w:t>
            </w:r>
          </w:p>
        </w:tc>
        <w:tc>
          <w:tcPr>
            <w:tcW w:w="435" w:type="dxa"/>
            <w:vAlign w:val="center"/>
          </w:tcPr>
          <w:p w:rsidRPr="009C32A8" w:rsidR="00606426" w:rsidP="007935BE" w:rsidRDefault="00606426" w14:paraId="6B41E37E" w14:textId="77777777">
            <w:pPr>
              <w:mirrorIndents/>
              <w:jc w:val="center"/>
              <w:rPr>
                <w:rFonts w:ascii="Segoe UI" w:hAnsi="Segoe UI" w:cs="Segoe UI"/>
                <w:sz w:val="24"/>
              </w:rPr>
            </w:pPr>
          </w:p>
        </w:tc>
        <w:tc>
          <w:tcPr>
            <w:tcW w:w="435" w:type="dxa"/>
            <w:vAlign w:val="center"/>
          </w:tcPr>
          <w:p w:rsidRPr="005D4809" w:rsidR="00606426" w:rsidP="007935BE" w:rsidRDefault="005D4809" w14:paraId="59C13E4D" w14:textId="0A6D1036">
            <w:pPr>
              <w:mirrorIndents/>
              <w:jc w:val="center"/>
              <w:rPr>
                <w:rFonts w:ascii="Segoe UI" w:hAnsi="Segoe UI" w:cs="Segoe UI"/>
                <w:b/>
                <w:bCs/>
                <w:sz w:val="24"/>
              </w:rPr>
            </w:pPr>
            <w:r w:rsidRPr="005D4809">
              <w:rPr>
                <w:rFonts w:ascii="Segoe UI" w:hAnsi="Segoe UI" w:cs="Segoe UI"/>
                <w:b/>
                <w:bCs/>
                <w:sz w:val="24"/>
              </w:rPr>
              <w:t>X</w:t>
            </w:r>
          </w:p>
        </w:tc>
      </w:tr>
      <w:tr w:rsidR="00606426" w:rsidTr="007935BE" w14:paraId="07B34E79" w14:textId="77777777">
        <w:trPr>
          <w:trHeight w:val="425"/>
          <w:jc w:val="center"/>
        </w:trPr>
        <w:tc>
          <w:tcPr>
            <w:tcW w:w="856" w:type="dxa"/>
            <w:tcBorders>
              <w:right w:val="nil"/>
            </w:tcBorders>
            <w:vAlign w:val="center"/>
          </w:tcPr>
          <w:p w:rsidRPr="00994E65" w:rsidR="00606426" w:rsidP="007935BE" w:rsidRDefault="00606426" w14:paraId="77F199F4" w14:textId="77777777">
            <w:pPr>
              <w:mirrorIndents/>
              <w:jc w:val="center"/>
              <w:rPr>
                <w:rFonts w:ascii="Segoe UI" w:hAnsi="Segoe UI" w:cs="Segoe UI"/>
                <w:sz w:val="16"/>
              </w:rPr>
            </w:pPr>
            <w:r>
              <w:rPr>
                <w:rFonts w:ascii="Segoe UI" w:hAnsi="Segoe UI" w:cs="Segoe UI"/>
                <w:sz w:val="16"/>
              </w:rPr>
              <w:t>iC28</w:t>
            </w:r>
          </w:p>
        </w:tc>
        <w:tc>
          <w:tcPr>
            <w:tcW w:w="3422" w:type="dxa"/>
            <w:tcBorders>
              <w:left w:val="nil"/>
            </w:tcBorders>
            <w:vAlign w:val="center"/>
          </w:tcPr>
          <w:p w:rsidRPr="00994E65" w:rsidR="00606426" w:rsidP="007935BE" w:rsidRDefault="00606426" w14:paraId="0AAC2A31" w14:textId="77777777">
            <w:pPr>
              <w:mirrorIndents/>
              <w:rPr>
                <w:rFonts w:ascii="Segoe UI" w:hAnsi="Segoe UI" w:cs="Segoe UI"/>
                <w:sz w:val="16"/>
              </w:rPr>
            </w:pPr>
            <w:r w:rsidRPr="00E90194">
              <w:rPr>
                <w:rFonts w:ascii="Segoe UI" w:hAnsi="Segoe UI" w:cs="Segoe UI"/>
                <w:sz w:val="16"/>
              </w:rPr>
              <w:t>Rapporto studenti iscritti al primo anno/docenti degli insegnamenti del primo anno (pesato per le ore di docenza)</w:t>
            </w:r>
          </w:p>
        </w:tc>
        <w:tc>
          <w:tcPr>
            <w:tcW w:w="435" w:type="dxa"/>
            <w:vAlign w:val="center"/>
          </w:tcPr>
          <w:p w:rsidRPr="009C32A8" w:rsidR="00606426" w:rsidP="007935BE" w:rsidRDefault="00606426" w14:paraId="09DB59B8" w14:textId="77777777">
            <w:pPr>
              <w:mirrorIndents/>
              <w:jc w:val="center"/>
              <w:rPr>
                <w:rFonts w:ascii="Segoe UI" w:hAnsi="Segoe UI" w:cs="Segoe UI"/>
                <w:sz w:val="24"/>
              </w:rPr>
            </w:pPr>
          </w:p>
        </w:tc>
        <w:tc>
          <w:tcPr>
            <w:tcW w:w="435" w:type="dxa"/>
            <w:vAlign w:val="center"/>
          </w:tcPr>
          <w:p w:rsidRPr="005D4809" w:rsidR="00606426" w:rsidP="007935BE" w:rsidRDefault="005D4809" w14:paraId="3F0D98FF" w14:textId="1513AE94">
            <w:pPr>
              <w:mirrorIndents/>
              <w:jc w:val="center"/>
              <w:rPr>
                <w:rFonts w:ascii="Segoe UI" w:hAnsi="Segoe UI" w:cs="Segoe UI"/>
                <w:b/>
                <w:bCs/>
                <w:sz w:val="24"/>
              </w:rPr>
            </w:pPr>
            <w:r w:rsidRPr="005D4809">
              <w:rPr>
                <w:rFonts w:ascii="Segoe UI" w:hAnsi="Segoe UI" w:cs="Segoe UI"/>
                <w:b/>
                <w:bCs/>
                <w:sz w:val="24"/>
              </w:rPr>
              <w:t>X</w:t>
            </w:r>
          </w:p>
        </w:tc>
      </w:tr>
      <w:tr w:rsidR="00606426" w:rsidTr="007935BE" w14:paraId="6D164884" w14:textId="77777777">
        <w:trPr>
          <w:trHeight w:val="425"/>
          <w:jc w:val="center"/>
        </w:trPr>
        <w:tc>
          <w:tcPr>
            <w:tcW w:w="856" w:type="dxa"/>
            <w:tcBorders>
              <w:right w:val="nil"/>
            </w:tcBorders>
            <w:vAlign w:val="center"/>
          </w:tcPr>
          <w:p w:rsidRPr="00994E65" w:rsidR="00606426" w:rsidP="007935BE" w:rsidRDefault="00606426" w14:paraId="04D637A6" w14:textId="77777777">
            <w:pPr>
              <w:mirrorIndents/>
              <w:jc w:val="center"/>
              <w:rPr>
                <w:rFonts w:ascii="Segoe UI" w:hAnsi="Segoe UI" w:cs="Segoe UI"/>
                <w:sz w:val="16"/>
              </w:rPr>
            </w:pPr>
            <w:r>
              <w:rPr>
                <w:rFonts w:ascii="Segoe UI" w:hAnsi="Segoe UI" w:cs="Segoe UI"/>
                <w:sz w:val="16"/>
              </w:rPr>
              <w:t>iC29</w:t>
            </w:r>
          </w:p>
        </w:tc>
        <w:tc>
          <w:tcPr>
            <w:tcW w:w="3422" w:type="dxa"/>
            <w:tcBorders>
              <w:left w:val="nil"/>
            </w:tcBorders>
            <w:vAlign w:val="center"/>
          </w:tcPr>
          <w:p w:rsidR="00606426" w:rsidP="007935BE" w:rsidRDefault="00606426" w14:paraId="29219DEB" w14:textId="77777777">
            <w:pPr>
              <w:mirrorIndents/>
              <w:rPr>
                <w:rFonts w:ascii="Segoe UI" w:hAnsi="Segoe UI" w:cs="Segoe UI"/>
                <w:sz w:val="16"/>
              </w:rPr>
            </w:pPr>
            <w:r w:rsidRPr="00E90194">
              <w:rPr>
                <w:rFonts w:ascii="Segoe UI" w:hAnsi="Segoe UI" w:cs="Segoe UI"/>
                <w:sz w:val="16"/>
              </w:rPr>
              <w:t xml:space="preserve">Rapporto tutor in possesso di </w:t>
            </w:r>
            <w:r>
              <w:rPr>
                <w:rFonts w:ascii="Segoe UI" w:hAnsi="Segoe UI" w:cs="Segoe UI"/>
                <w:sz w:val="16"/>
              </w:rPr>
              <w:t>Dottorato di Ricerca / Iscritti</w:t>
            </w:r>
          </w:p>
          <w:p w:rsidRPr="00994E65" w:rsidR="00606426" w:rsidP="007935BE" w:rsidRDefault="00606426" w14:paraId="09B40635" w14:textId="77777777">
            <w:pPr>
              <w:mirrorIndents/>
              <w:rPr>
                <w:rFonts w:ascii="Segoe UI" w:hAnsi="Segoe UI" w:cs="Segoe UI"/>
                <w:sz w:val="16"/>
              </w:rPr>
            </w:pPr>
            <w:r w:rsidRPr="00E90194">
              <w:rPr>
                <w:rFonts w:ascii="Segoe UI" w:hAnsi="Segoe UI" w:cs="Segoe UI"/>
                <w:sz w:val="16"/>
              </w:rPr>
              <w:t>(per i corsi di studio prevalentemente o integralmente a distanza)</w:t>
            </w:r>
          </w:p>
        </w:tc>
        <w:tc>
          <w:tcPr>
            <w:tcW w:w="435" w:type="dxa"/>
            <w:vAlign w:val="center"/>
          </w:tcPr>
          <w:p w:rsidRPr="009C32A8" w:rsidR="00606426" w:rsidP="007935BE" w:rsidRDefault="00606426" w14:paraId="5A5EDDD1" w14:textId="77777777">
            <w:pPr>
              <w:mirrorIndents/>
              <w:jc w:val="center"/>
              <w:rPr>
                <w:rFonts w:ascii="Segoe UI" w:hAnsi="Segoe UI" w:cs="Segoe UI"/>
                <w:sz w:val="24"/>
              </w:rPr>
            </w:pPr>
          </w:p>
        </w:tc>
        <w:tc>
          <w:tcPr>
            <w:tcW w:w="435" w:type="dxa"/>
            <w:vAlign w:val="center"/>
          </w:tcPr>
          <w:p w:rsidRPr="009C32A8" w:rsidR="00606426" w:rsidP="007935BE" w:rsidRDefault="00606426" w14:paraId="04708E78" w14:textId="77777777">
            <w:pPr>
              <w:mirrorIndents/>
              <w:jc w:val="center"/>
              <w:rPr>
                <w:rFonts w:ascii="Segoe UI" w:hAnsi="Segoe UI" w:cs="Segoe UI"/>
                <w:sz w:val="24"/>
              </w:rPr>
            </w:pPr>
          </w:p>
        </w:tc>
      </w:tr>
    </w:tbl>
    <w:p w:rsidR="00CF6ADA" w:rsidP="00CE0FAD" w:rsidRDefault="00CF6ADA" w14:paraId="1ECD821F" w14:textId="0AE8CF44">
      <w:pPr>
        <w:mirrorIndents/>
        <w:rPr>
          <w:rFonts w:ascii="Segoe UI" w:hAnsi="Segoe UI" w:cs="Segoe UI"/>
        </w:rPr>
      </w:pPr>
    </w:p>
    <w:sectPr w:rsidR="00CF6ADA" w:rsidSect="005A75EF">
      <w:footerReference w:type="default" r:id="rId9"/>
      <w:headerReference w:type="first" r:id="rId10"/>
      <w:pgSz w:w="11906" w:h="16838" w:orient="portrait"/>
      <w:pgMar w:top="1418" w:right="1134" w:bottom="1134" w:left="1134"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F4" w:rsidP="00EE3D24" w:rsidRDefault="001860F4" w14:paraId="1D1F6F51" w14:textId="77777777">
      <w:pPr>
        <w:spacing w:after="0" w:line="240" w:lineRule="auto"/>
      </w:pPr>
      <w:r>
        <w:separator/>
      </w:r>
    </w:p>
  </w:endnote>
  <w:endnote w:type="continuationSeparator" w:id="0">
    <w:p w:rsidR="001860F4" w:rsidP="00EE3D24" w:rsidRDefault="001860F4" w14:paraId="0B4BDE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9D" w:rsidP="00E26CEA" w:rsidRDefault="00150E9D" w14:paraId="7683DD44" w14:textId="77777777">
    <w:pPr>
      <w:pStyle w:val="Pidipagina"/>
      <w:jc w:val="center"/>
    </w:pPr>
    <w:r>
      <w:rPr>
        <w:b/>
        <w:bCs/>
      </w:rPr>
      <w:fldChar w:fldCharType="begin"/>
    </w:r>
    <w:r>
      <w:rPr>
        <w:b/>
        <w:bCs/>
      </w:rPr>
      <w:instrText>PAGE  \* Arabic  \* MERGEFORMAT</w:instrText>
    </w:r>
    <w:r>
      <w:rPr>
        <w:b/>
        <w:bCs/>
      </w:rPr>
      <w:fldChar w:fldCharType="separate"/>
    </w:r>
    <w:r w:rsidR="008D4F19">
      <w:rPr>
        <w:b/>
        <w:bCs/>
        <w:noProof/>
      </w:rPr>
      <w:t>8</w:t>
    </w:r>
    <w:r>
      <w:rPr>
        <w:b/>
        <w:bCs/>
      </w:rPr>
      <w:fldChar w:fldCharType="end"/>
    </w:r>
    <w:r>
      <w:t xml:space="preserve"> / </w:t>
    </w:r>
    <w:r>
      <w:rPr>
        <w:b/>
        <w:bCs/>
      </w:rPr>
      <w:fldChar w:fldCharType="begin"/>
    </w:r>
    <w:r>
      <w:rPr>
        <w:b/>
        <w:bCs/>
      </w:rPr>
      <w:instrText>NUMPAGES  \* Arabic  \* MERGEFORMAT</w:instrText>
    </w:r>
    <w:r>
      <w:rPr>
        <w:b/>
        <w:bCs/>
      </w:rPr>
      <w:fldChar w:fldCharType="separate"/>
    </w:r>
    <w:r w:rsidR="008D4F19">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F4" w:rsidP="00EE3D24" w:rsidRDefault="001860F4" w14:paraId="39BB532C" w14:textId="77777777">
      <w:pPr>
        <w:spacing w:after="0" w:line="240" w:lineRule="auto"/>
      </w:pPr>
      <w:r>
        <w:separator/>
      </w:r>
    </w:p>
  </w:footnote>
  <w:footnote w:type="continuationSeparator" w:id="0">
    <w:p w:rsidR="001860F4" w:rsidP="00EE3D24" w:rsidRDefault="001860F4" w14:paraId="6157E895"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A360D" w:rsidR="00150E9D" w:rsidP="005A75EF" w:rsidRDefault="00150E9D" w14:paraId="2BD868C6" w14:textId="685C7663">
    <w:pPr>
      <w:pStyle w:val="Intestazione"/>
      <w:rPr>
        <w:rFonts w:ascii="Segoe UI" w:hAnsi="Segoe UI" w:cs="Segoe UI"/>
        <w:sz w:val="20"/>
      </w:rPr>
    </w:pPr>
    <w:r w:rsidRPr="006A360D">
      <w:rPr>
        <w:rFonts w:ascii="Segoe UI" w:hAnsi="Segoe UI" w:cs="Segoe UI"/>
        <w:sz w:val="20"/>
      </w:rPr>
      <w:tab/>
    </w:r>
    <w:r w:rsidRPr="006A360D">
      <w:rPr>
        <w:rFonts w:ascii="Segoe UI" w:hAnsi="Segoe UI" w:cs="Segoe UI"/>
        <w:sz w:val="20"/>
      </w:rPr>
      <w:tab/>
    </w:r>
    <w:r w:rsidRPr="008D4F19">
      <w:rPr>
        <w:rFonts w:ascii="Segoe UI" w:hAnsi="Segoe UI" w:cs="Segoe UI"/>
        <w:sz w:val="20"/>
        <w:highlight w:val="yellow"/>
      </w:rPr>
      <w:t>ALLEGATO</w:t>
    </w:r>
    <w:r w:rsidRPr="008D4F19" w:rsidR="00C53D16">
      <w:rPr>
        <w:rFonts w:ascii="Segoe UI" w:hAnsi="Segoe UI" w:cs="Segoe UI"/>
        <w:sz w:val="20"/>
        <w:highlight w:val="yellow"/>
      </w:rPr>
      <w:t xml:space="preserve"> </w:t>
    </w:r>
    <w:proofErr w:type="spellStart"/>
    <w:r w:rsidRPr="008D4F19" w:rsidR="00C53D16">
      <w:rPr>
        <w:rFonts w:ascii="Segoe UI" w:hAnsi="Segoe UI" w:cs="Segoe UI"/>
        <w:sz w:val="20"/>
        <w:highlight w:val="yellow"/>
      </w:rPr>
      <w:t>CdL</w:t>
    </w:r>
    <w:proofErr w:type="spellEnd"/>
    <w:r w:rsidRPr="008D4F19" w:rsidR="00C53D16">
      <w:rPr>
        <w:rFonts w:ascii="Segoe UI" w:hAnsi="Segoe UI" w:cs="Segoe UI"/>
        <w:sz w:val="20"/>
        <w:highlight w:val="yellow"/>
      </w:rPr>
      <w:t xml:space="preserve"> 24.11.2020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00A45"/>
    <w:multiLevelType w:val="hybridMultilevel"/>
    <w:tmpl w:val="D0725376"/>
    <w:lvl w:ilvl="0" w:tplc="E8800058">
      <w:start w:val="1"/>
      <w:numFmt w:val="bullet"/>
      <w:lvlText w:val=""/>
      <w:lvlJc w:val="left"/>
      <w:pPr>
        <w:tabs>
          <w:tab w:val="num" w:pos="567"/>
        </w:tabs>
        <w:ind w:left="907" w:hanging="113"/>
      </w:pPr>
      <w:rPr>
        <w:rFonts w:hint="default" w:ascii="Symbol" w:hAnsi="Symbol"/>
      </w:rPr>
    </w:lvl>
    <w:lvl w:ilvl="1" w:tplc="708ABC12">
      <w:numFmt w:val="bullet"/>
      <w:lvlText w:val="-"/>
      <w:lvlJc w:val="left"/>
      <w:pPr>
        <w:tabs>
          <w:tab w:val="num" w:pos="1440"/>
        </w:tabs>
        <w:ind w:left="1440" w:hanging="360"/>
      </w:pPr>
      <w:rPr>
        <w:rFonts w:hint="default" w:ascii="Lucida Sans Unicode" w:hAnsi="Lucida Sans Unicode" w:eastAsia="Times New Roman" w:cs="Lucida Sans Unicode"/>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proofState w:spelling="clean" w:grammar="dirty"/>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DA"/>
    <w:rsid w:val="000153EE"/>
    <w:rsid w:val="00023DC5"/>
    <w:rsid w:val="00035EE7"/>
    <w:rsid w:val="0004131D"/>
    <w:rsid w:val="00054150"/>
    <w:rsid w:val="00056C97"/>
    <w:rsid w:val="000621CA"/>
    <w:rsid w:val="00067682"/>
    <w:rsid w:val="000678F4"/>
    <w:rsid w:val="00071881"/>
    <w:rsid w:val="0009175E"/>
    <w:rsid w:val="000933EA"/>
    <w:rsid w:val="00097CAB"/>
    <w:rsid w:val="000B3771"/>
    <w:rsid w:val="000C0669"/>
    <w:rsid w:val="000C1DFA"/>
    <w:rsid w:val="000C6057"/>
    <w:rsid w:val="000C6161"/>
    <w:rsid w:val="000C77FE"/>
    <w:rsid w:val="000D4E0E"/>
    <w:rsid w:val="000D5368"/>
    <w:rsid w:val="000D7AC7"/>
    <w:rsid w:val="000E5A9C"/>
    <w:rsid w:val="000F2451"/>
    <w:rsid w:val="000F3390"/>
    <w:rsid w:val="00106037"/>
    <w:rsid w:val="00113671"/>
    <w:rsid w:val="00122F6D"/>
    <w:rsid w:val="0012519E"/>
    <w:rsid w:val="0012678D"/>
    <w:rsid w:val="00135812"/>
    <w:rsid w:val="0014772C"/>
    <w:rsid w:val="00150E9D"/>
    <w:rsid w:val="00152ECA"/>
    <w:rsid w:val="00154BD6"/>
    <w:rsid w:val="001620B0"/>
    <w:rsid w:val="00167F2C"/>
    <w:rsid w:val="001731F4"/>
    <w:rsid w:val="001734FF"/>
    <w:rsid w:val="001860F4"/>
    <w:rsid w:val="00192844"/>
    <w:rsid w:val="001945D2"/>
    <w:rsid w:val="001A102C"/>
    <w:rsid w:val="001A1DC3"/>
    <w:rsid w:val="001A1DD6"/>
    <w:rsid w:val="001A26A9"/>
    <w:rsid w:val="001C1D68"/>
    <w:rsid w:val="001C3460"/>
    <w:rsid w:val="001C39C8"/>
    <w:rsid w:val="001C4978"/>
    <w:rsid w:val="001D40AB"/>
    <w:rsid w:val="001E795B"/>
    <w:rsid w:val="001F4129"/>
    <w:rsid w:val="00204F74"/>
    <w:rsid w:val="00207A4A"/>
    <w:rsid w:val="002200DF"/>
    <w:rsid w:val="002266B4"/>
    <w:rsid w:val="002336EB"/>
    <w:rsid w:val="00242284"/>
    <w:rsid w:val="00242622"/>
    <w:rsid w:val="00246663"/>
    <w:rsid w:val="0026450B"/>
    <w:rsid w:val="00265285"/>
    <w:rsid w:val="00273396"/>
    <w:rsid w:val="002756CB"/>
    <w:rsid w:val="00275E48"/>
    <w:rsid w:val="0027720C"/>
    <w:rsid w:val="00282D04"/>
    <w:rsid w:val="00295559"/>
    <w:rsid w:val="002A2790"/>
    <w:rsid w:val="002A3ABE"/>
    <w:rsid w:val="002A6CB9"/>
    <w:rsid w:val="002B1D6B"/>
    <w:rsid w:val="002B2095"/>
    <w:rsid w:val="002B7566"/>
    <w:rsid w:val="002C0BB2"/>
    <w:rsid w:val="002D7493"/>
    <w:rsid w:val="002E660D"/>
    <w:rsid w:val="002E7CD2"/>
    <w:rsid w:val="002F6578"/>
    <w:rsid w:val="00301B88"/>
    <w:rsid w:val="003047BD"/>
    <w:rsid w:val="00317F14"/>
    <w:rsid w:val="003258D6"/>
    <w:rsid w:val="0033332F"/>
    <w:rsid w:val="0033655B"/>
    <w:rsid w:val="00341698"/>
    <w:rsid w:val="003461B8"/>
    <w:rsid w:val="003560B7"/>
    <w:rsid w:val="00356D91"/>
    <w:rsid w:val="00361826"/>
    <w:rsid w:val="00373F76"/>
    <w:rsid w:val="00383B83"/>
    <w:rsid w:val="003A1D9F"/>
    <w:rsid w:val="003A3766"/>
    <w:rsid w:val="003A55B8"/>
    <w:rsid w:val="003A561D"/>
    <w:rsid w:val="003A7176"/>
    <w:rsid w:val="003B0D22"/>
    <w:rsid w:val="003B58C6"/>
    <w:rsid w:val="003B5AA4"/>
    <w:rsid w:val="003C00E7"/>
    <w:rsid w:val="003C3C5D"/>
    <w:rsid w:val="003C3F3D"/>
    <w:rsid w:val="003C7ED6"/>
    <w:rsid w:val="003E39A1"/>
    <w:rsid w:val="003F28CA"/>
    <w:rsid w:val="004040DB"/>
    <w:rsid w:val="0041391E"/>
    <w:rsid w:val="00421E19"/>
    <w:rsid w:val="00425F7E"/>
    <w:rsid w:val="00431963"/>
    <w:rsid w:val="004331E0"/>
    <w:rsid w:val="004347DE"/>
    <w:rsid w:val="00437695"/>
    <w:rsid w:val="00457EDF"/>
    <w:rsid w:val="00461061"/>
    <w:rsid w:val="00464134"/>
    <w:rsid w:val="0047278E"/>
    <w:rsid w:val="00476C28"/>
    <w:rsid w:val="00477ECE"/>
    <w:rsid w:val="00480D5E"/>
    <w:rsid w:val="004816D4"/>
    <w:rsid w:val="00482FC4"/>
    <w:rsid w:val="00485CA3"/>
    <w:rsid w:val="004A4FF7"/>
    <w:rsid w:val="004A5193"/>
    <w:rsid w:val="004A520F"/>
    <w:rsid w:val="004C5475"/>
    <w:rsid w:val="004C75E7"/>
    <w:rsid w:val="004D44C9"/>
    <w:rsid w:val="004E236C"/>
    <w:rsid w:val="004E3C5E"/>
    <w:rsid w:val="004E7C44"/>
    <w:rsid w:val="004F1183"/>
    <w:rsid w:val="004F29BC"/>
    <w:rsid w:val="0051366C"/>
    <w:rsid w:val="00515240"/>
    <w:rsid w:val="005218EB"/>
    <w:rsid w:val="00534E69"/>
    <w:rsid w:val="00537BB2"/>
    <w:rsid w:val="00541DD5"/>
    <w:rsid w:val="005438CA"/>
    <w:rsid w:val="00561229"/>
    <w:rsid w:val="00563193"/>
    <w:rsid w:val="00563A17"/>
    <w:rsid w:val="00575975"/>
    <w:rsid w:val="005847BB"/>
    <w:rsid w:val="00590EA3"/>
    <w:rsid w:val="005A10FF"/>
    <w:rsid w:val="005A427D"/>
    <w:rsid w:val="005A75EF"/>
    <w:rsid w:val="005B106D"/>
    <w:rsid w:val="005B388F"/>
    <w:rsid w:val="005B6F93"/>
    <w:rsid w:val="005C7B4D"/>
    <w:rsid w:val="005D3443"/>
    <w:rsid w:val="005D4809"/>
    <w:rsid w:val="005D55D4"/>
    <w:rsid w:val="005D5F63"/>
    <w:rsid w:val="005D5FC9"/>
    <w:rsid w:val="005D6880"/>
    <w:rsid w:val="005D7D15"/>
    <w:rsid w:val="005E40C8"/>
    <w:rsid w:val="00600D94"/>
    <w:rsid w:val="006012A0"/>
    <w:rsid w:val="00604955"/>
    <w:rsid w:val="00606426"/>
    <w:rsid w:val="006078E6"/>
    <w:rsid w:val="006136EB"/>
    <w:rsid w:val="006213E9"/>
    <w:rsid w:val="0062231E"/>
    <w:rsid w:val="0062414E"/>
    <w:rsid w:val="00625FED"/>
    <w:rsid w:val="00627887"/>
    <w:rsid w:val="00645953"/>
    <w:rsid w:val="00650DCC"/>
    <w:rsid w:val="00652E21"/>
    <w:rsid w:val="00653091"/>
    <w:rsid w:val="006531CE"/>
    <w:rsid w:val="00673ADA"/>
    <w:rsid w:val="00674160"/>
    <w:rsid w:val="0067796D"/>
    <w:rsid w:val="00677AA6"/>
    <w:rsid w:val="00683DF2"/>
    <w:rsid w:val="006901DF"/>
    <w:rsid w:val="00692E58"/>
    <w:rsid w:val="00693D8E"/>
    <w:rsid w:val="00695AA2"/>
    <w:rsid w:val="006A0E1F"/>
    <w:rsid w:val="006A360D"/>
    <w:rsid w:val="006A7047"/>
    <w:rsid w:val="006B36A9"/>
    <w:rsid w:val="006B467D"/>
    <w:rsid w:val="006D0BA3"/>
    <w:rsid w:val="006D791D"/>
    <w:rsid w:val="006E314E"/>
    <w:rsid w:val="006E60FB"/>
    <w:rsid w:val="006E70BC"/>
    <w:rsid w:val="006F4966"/>
    <w:rsid w:val="00704261"/>
    <w:rsid w:val="00704613"/>
    <w:rsid w:val="00705437"/>
    <w:rsid w:val="0073056D"/>
    <w:rsid w:val="007325BD"/>
    <w:rsid w:val="007374E5"/>
    <w:rsid w:val="00740D11"/>
    <w:rsid w:val="007418FC"/>
    <w:rsid w:val="00741C00"/>
    <w:rsid w:val="007502C2"/>
    <w:rsid w:val="00757267"/>
    <w:rsid w:val="007639BD"/>
    <w:rsid w:val="007651EA"/>
    <w:rsid w:val="00765307"/>
    <w:rsid w:val="00767149"/>
    <w:rsid w:val="00777C5B"/>
    <w:rsid w:val="007919E8"/>
    <w:rsid w:val="0079585D"/>
    <w:rsid w:val="00795983"/>
    <w:rsid w:val="0079600E"/>
    <w:rsid w:val="007B75D8"/>
    <w:rsid w:val="007B7FB8"/>
    <w:rsid w:val="007C250B"/>
    <w:rsid w:val="007E2F6E"/>
    <w:rsid w:val="007F70CA"/>
    <w:rsid w:val="008164AD"/>
    <w:rsid w:val="00817985"/>
    <w:rsid w:val="00820C40"/>
    <w:rsid w:val="00825331"/>
    <w:rsid w:val="00831D5F"/>
    <w:rsid w:val="00832F52"/>
    <w:rsid w:val="00833D8F"/>
    <w:rsid w:val="008348E2"/>
    <w:rsid w:val="00843E3F"/>
    <w:rsid w:val="00846D57"/>
    <w:rsid w:val="0084796C"/>
    <w:rsid w:val="0086723E"/>
    <w:rsid w:val="008735E2"/>
    <w:rsid w:val="00874D63"/>
    <w:rsid w:val="008759C9"/>
    <w:rsid w:val="00877C01"/>
    <w:rsid w:val="00882778"/>
    <w:rsid w:val="00883549"/>
    <w:rsid w:val="00895ED4"/>
    <w:rsid w:val="008B1E98"/>
    <w:rsid w:val="008B4CC6"/>
    <w:rsid w:val="008B5679"/>
    <w:rsid w:val="008C02E6"/>
    <w:rsid w:val="008C33E8"/>
    <w:rsid w:val="008C725C"/>
    <w:rsid w:val="008D3ED0"/>
    <w:rsid w:val="008D4F19"/>
    <w:rsid w:val="008D5536"/>
    <w:rsid w:val="008D5866"/>
    <w:rsid w:val="008E1B2B"/>
    <w:rsid w:val="008F59EB"/>
    <w:rsid w:val="00901AEB"/>
    <w:rsid w:val="00902A5E"/>
    <w:rsid w:val="00911B11"/>
    <w:rsid w:val="00924EE1"/>
    <w:rsid w:val="0095017B"/>
    <w:rsid w:val="0095124A"/>
    <w:rsid w:val="00955525"/>
    <w:rsid w:val="0096277E"/>
    <w:rsid w:val="009873EB"/>
    <w:rsid w:val="009A641E"/>
    <w:rsid w:val="009A6954"/>
    <w:rsid w:val="009B12F2"/>
    <w:rsid w:val="009C372D"/>
    <w:rsid w:val="009C5183"/>
    <w:rsid w:val="009C7348"/>
    <w:rsid w:val="009D5BD8"/>
    <w:rsid w:val="009D635A"/>
    <w:rsid w:val="009D6E92"/>
    <w:rsid w:val="00A04AF8"/>
    <w:rsid w:val="00A07517"/>
    <w:rsid w:val="00A07FBB"/>
    <w:rsid w:val="00A1383D"/>
    <w:rsid w:val="00A26C62"/>
    <w:rsid w:val="00A3186F"/>
    <w:rsid w:val="00A32FF5"/>
    <w:rsid w:val="00A3557C"/>
    <w:rsid w:val="00A40D29"/>
    <w:rsid w:val="00A41824"/>
    <w:rsid w:val="00A65179"/>
    <w:rsid w:val="00A7398E"/>
    <w:rsid w:val="00A84AB3"/>
    <w:rsid w:val="00A86C57"/>
    <w:rsid w:val="00A879BA"/>
    <w:rsid w:val="00A87E8E"/>
    <w:rsid w:val="00A91BC4"/>
    <w:rsid w:val="00AB09C9"/>
    <w:rsid w:val="00AB17D7"/>
    <w:rsid w:val="00AB29EF"/>
    <w:rsid w:val="00AB4109"/>
    <w:rsid w:val="00AB7588"/>
    <w:rsid w:val="00AC3A76"/>
    <w:rsid w:val="00AD5726"/>
    <w:rsid w:val="00AE7076"/>
    <w:rsid w:val="00AE7382"/>
    <w:rsid w:val="00AE7DB4"/>
    <w:rsid w:val="00AF1285"/>
    <w:rsid w:val="00AF211A"/>
    <w:rsid w:val="00B015F8"/>
    <w:rsid w:val="00B03B0C"/>
    <w:rsid w:val="00B045F0"/>
    <w:rsid w:val="00B07D23"/>
    <w:rsid w:val="00B2155B"/>
    <w:rsid w:val="00B576B2"/>
    <w:rsid w:val="00B653CB"/>
    <w:rsid w:val="00B714B1"/>
    <w:rsid w:val="00B756B9"/>
    <w:rsid w:val="00B80C24"/>
    <w:rsid w:val="00B854F7"/>
    <w:rsid w:val="00B90C0D"/>
    <w:rsid w:val="00B94D09"/>
    <w:rsid w:val="00BC4724"/>
    <w:rsid w:val="00BC672D"/>
    <w:rsid w:val="00BE2AB4"/>
    <w:rsid w:val="00BE2D9A"/>
    <w:rsid w:val="00BE50F3"/>
    <w:rsid w:val="00BF2D2B"/>
    <w:rsid w:val="00C02D14"/>
    <w:rsid w:val="00C07DB2"/>
    <w:rsid w:val="00C249E3"/>
    <w:rsid w:val="00C365A4"/>
    <w:rsid w:val="00C36AC3"/>
    <w:rsid w:val="00C405EB"/>
    <w:rsid w:val="00C409F3"/>
    <w:rsid w:val="00C42CF5"/>
    <w:rsid w:val="00C53D16"/>
    <w:rsid w:val="00C72EAD"/>
    <w:rsid w:val="00C76401"/>
    <w:rsid w:val="00C84D99"/>
    <w:rsid w:val="00CA16B9"/>
    <w:rsid w:val="00CA74D5"/>
    <w:rsid w:val="00CB0127"/>
    <w:rsid w:val="00CB7881"/>
    <w:rsid w:val="00CC0C05"/>
    <w:rsid w:val="00CC175E"/>
    <w:rsid w:val="00CC2107"/>
    <w:rsid w:val="00CD0AD0"/>
    <w:rsid w:val="00CE0FAD"/>
    <w:rsid w:val="00CF6ADA"/>
    <w:rsid w:val="00D01292"/>
    <w:rsid w:val="00D044C1"/>
    <w:rsid w:val="00D054D6"/>
    <w:rsid w:val="00D35B90"/>
    <w:rsid w:val="00D54BDD"/>
    <w:rsid w:val="00D55F1C"/>
    <w:rsid w:val="00D66407"/>
    <w:rsid w:val="00D71954"/>
    <w:rsid w:val="00D83062"/>
    <w:rsid w:val="00D929EE"/>
    <w:rsid w:val="00DB3D4D"/>
    <w:rsid w:val="00DB79CC"/>
    <w:rsid w:val="00DC317B"/>
    <w:rsid w:val="00DD1D50"/>
    <w:rsid w:val="00DD3DD4"/>
    <w:rsid w:val="00DD4055"/>
    <w:rsid w:val="00DF446D"/>
    <w:rsid w:val="00E03800"/>
    <w:rsid w:val="00E04393"/>
    <w:rsid w:val="00E0508A"/>
    <w:rsid w:val="00E1686D"/>
    <w:rsid w:val="00E171FD"/>
    <w:rsid w:val="00E26CEA"/>
    <w:rsid w:val="00E410E2"/>
    <w:rsid w:val="00E425EE"/>
    <w:rsid w:val="00E44E68"/>
    <w:rsid w:val="00E45571"/>
    <w:rsid w:val="00E52243"/>
    <w:rsid w:val="00E53CEE"/>
    <w:rsid w:val="00E54DC5"/>
    <w:rsid w:val="00E55441"/>
    <w:rsid w:val="00E57CC2"/>
    <w:rsid w:val="00E70A61"/>
    <w:rsid w:val="00E75E02"/>
    <w:rsid w:val="00E80355"/>
    <w:rsid w:val="00E81CE9"/>
    <w:rsid w:val="00E83BEF"/>
    <w:rsid w:val="00E85E8E"/>
    <w:rsid w:val="00E90194"/>
    <w:rsid w:val="00E91441"/>
    <w:rsid w:val="00EA2F46"/>
    <w:rsid w:val="00EA3C7D"/>
    <w:rsid w:val="00EA4FE9"/>
    <w:rsid w:val="00EB3660"/>
    <w:rsid w:val="00EB633D"/>
    <w:rsid w:val="00EC0B21"/>
    <w:rsid w:val="00EC2546"/>
    <w:rsid w:val="00EC2A4B"/>
    <w:rsid w:val="00EC667D"/>
    <w:rsid w:val="00ED2CFA"/>
    <w:rsid w:val="00EE3D24"/>
    <w:rsid w:val="00EE7333"/>
    <w:rsid w:val="00EF13CD"/>
    <w:rsid w:val="00EF16FE"/>
    <w:rsid w:val="00F020EB"/>
    <w:rsid w:val="00F042D6"/>
    <w:rsid w:val="00F20BEB"/>
    <w:rsid w:val="00F40C25"/>
    <w:rsid w:val="00F517E8"/>
    <w:rsid w:val="00F5456C"/>
    <w:rsid w:val="00F60418"/>
    <w:rsid w:val="00F74621"/>
    <w:rsid w:val="00F82D2E"/>
    <w:rsid w:val="00F87EFA"/>
    <w:rsid w:val="00F95E62"/>
    <w:rsid w:val="00FA2441"/>
    <w:rsid w:val="00FA45D2"/>
    <w:rsid w:val="00FA4F85"/>
    <w:rsid w:val="00FB1690"/>
    <w:rsid w:val="00FB7121"/>
    <w:rsid w:val="00FB74CC"/>
    <w:rsid w:val="00FC7871"/>
    <w:rsid w:val="00FC7FB6"/>
    <w:rsid w:val="00FD25C1"/>
    <w:rsid w:val="00FD3612"/>
    <w:rsid w:val="00FF4AAF"/>
    <w:rsid w:val="00FF57CE"/>
    <w:rsid w:val="06A62A31"/>
    <w:rsid w:val="0AD0C39D"/>
    <w:rsid w:val="207C5587"/>
    <w:rsid w:val="76804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F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Grigliatabella">
    <w:name w:val="Table Grid"/>
    <w:basedOn w:val="Tabellanormale"/>
    <w:rsid w:val="00CF6ADA"/>
    <w:pPr>
      <w:spacing w:after="0" w:line="240" w:lineRule="auto"/>
    </w:pPr>
    <w:rPr>
      <w:rFonts w:ascii="Times New Roman" w:hAnsi="Times New Roman" w:eastAsia="Times New Roman" w:cs="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F6ADA"/>
    <w:pPr>
      <w:autoSpaceDE w:val="0"/>
      <w:autoSpaceDN w:val="0"/>
      <w:adjustRightInd w:val="0"/>
      <w:spacing w:after="0" w:line="240" w:lineRule="auto"/>
    </w:pPr>
    <w:rPr>
      <w:rFonts w:ascii="Segoe UI" w:hAnsi="Segoe UI" w:cs="Segoe UI"/>
      <w:color w:val="000000"/>
      <w:sz w:val="24"/>
      <w:szCs w:val="24"/>
    </w:rPr>
  </w:style>
  <w:style w:type="paragraph" w:styleId="Testofumetto">
    <w:name w:val="Balloon Text"/>
    <w:basedOn w:val="Normale"/>
    <w:link w:val="TestofumettoCarattere"/>
    <w:uiPriority w:val="99"/>
    <w:semiHidden/>
    <w:unhideWhenUsed/>
    <w:rsid w:val="00765307"/>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765307"/>
    <w:rPr>
      <w:rFonts w:ascii="Segoe UI" w:hAnsi="Segoe UI" w:cs="Segoe UI"/>
      <w:sz w:val="18"/>
      <w:szCs w:val="18"/>
    </w:rPr>
  </w:style>
  <w:style w:type="paragraph" w:styleId="Intestazione">
    <w:name w:val="header"/>
    <w:basedOn w:val="Normale"/>
    <w:link w:val="IntestazioneCarattere"/>
    <w:uiPriority w:val="99"/>
    <w:unhideWhenUsed/>
    <w:rsid w:val="00EE3D24"/>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E3D24"/>
  </w:style>
  <w:style w:type="paragraph" w:styleId="Pidipagina">
    <w:name w:val="footer"/>
    <w:basedOn w:val="Normale"/>
    <w:link w:val="PidipaginaCarattere"/>
    <w:uiPriority w:val="99"/>
    <w:unhideWhenUsed/>
    <w:rsid w:val="00EE3D24"/>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E3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F6AD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ADA"/>
    <w:pPr>
      <w:autoSpaceDE w:val="0"/>
      <w:autoSpaceDN w:val="0"/>
      <w:adjustRightInd w:val="0"/>
      <w:spacing w:after="0" w:line="240" w:lineRule="auto"/>
    </w:pPr>
    <w:rPr>
      <w:rFonts w:ascii="Segoe UI" w:hAnsi="Segoe UI" w:cs="Segoe UI"/>
      <w:color w:val="000000"/>
      <w:sz w:val="24"/>
      <w:szCs w:val="24"/>
    </w:rPr>
  </w:style>
  <w:style w:type="paragraph" w:styleId="Testofumetto">
    <w:name w:val="Balloon Text"/>
    <w:basedOn w:val="Normale"/>
    <w:link w:val="TestofumettoCarattere"/>
    <w:uiPriority w:val="99"/>
    <w:semiHidden/>
    <w:unhideWhenUsed/>
    <w:rsid w:val="007653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5307"/>
    <w:rPr>
      <w:rFonts w:ascii="Segoe UI" w:hAnsi="Segoe UI" w:cs="Segoe UI"/>
      <w:sz w:val="18"/>
      <w:szCs w:val="18"/>
    </w:rPr>
  </w:style>
  <w:style w:type="paragraph" w:styleId="Intestazione">
    <w:name w:val="header"/>
    <w:basedOn w:val="Normale"/>
    <w:link w:val="IntestazioneCarattere"/>
    <w:uiPriority w:val="99"/>
    <w:unhideWhenUsed/>
    <w:rsid w:val="00EE3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3D24"/>
  </w:style>
  <w:style w:type="paragraph" w:styleId="Pidipagina">
    <w:name w:val="footer"/>
    <w:basedOn w:val="Normale"/>
    <w:link w:val="PidipaginaCarattere"/>
    <w:uiPriority w:val="99"/>
    <w:unhideWhenUsed/>
    <w:rsid w:val="00EE3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png" Id="R548649505054454b"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Emiliano Dovico</dc:creator>
  <lastModifiedBy>MARIA PIA SANVITO</lastModifiedBy>
  <revision>3</revision>
  <lastPrinted>2020-11-10T17:22:00.0000000Z</lastPrinted>
  <dcterms:created xsi:type="dcterms:W3CDTF">2020-11-16T16:13:00.0000000Z</dcterms:created>
  <dcterms:modified xsi:type="dcterms:W3CDTF">2020-11-28T10:17:29.5835524Z</dcterms:modified>
</coreProperties>
</file>