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3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617"/>
        <w:gridCol w:w="5773"/>
      </w:tblGrid>
      <w:tr w:rsidR="00CF6ADA" w:rsidRPr="005E48B6" w14:paraId="2F1EF7D3" w14:textId="77777777" w:rsidTr="000C6161">
        <w:trPr>
          <w:jc w:val="center"/>
        </w:trPr>
        <w:tc>
          <w:tcPr>
            <w:tcW w:w="2550" w:type="dxa"/>
            <w:shd w:val="clear" w:color="auto" w:fill="DEEAF6" w:themeFill="accent1" w:themeFillTint="33"/>
            <w:vAlign w:val="center"/>
          </w:tcPr>
          <w:p w14:paraId="38E610CC" w14:textId="77777777" w:rsidR="00CF6ADA" w:rsidRPr="005E48B6" w:rsidRDefault="000C6161" w:rsidP="003C00E7">
            <w:pPr>
              <w:spacing w:before="240" w:after="120" w:line="216" w:lineRule="auto"/>
              <w:mirrorIndents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97AC3">
              <w:rPr>
                <w:rFonts w:ascii="Segoe UI" w:hAnsi="Segoe UI" w:cs="Segoe UI"/>
                <w:noProof/>
              </w:rPr>
              <w:drawing>
                <wp:inline distT="0" distB="0" distL="0" distR="0" wp14:anchorId="37A3656E" wp14:editId="127708C1">
                  <wp:extent cx="2160000" cy="730909"/>
                  <wp:effectExtent l="0" t="0" r="0" b="0"/>
                  <wp:docPr id="2" name="Immagine 2" descr="C:\Users\dovico\Desktop\Pacchetto logo formato png\marchio_unipi_orizz_pant5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vico\Desktop\Pacchetto logo formato png\marchio_unipi_orizz_pant5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73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DEEAF6" w:themeFill="accent1" w:themeFillTint="33"/>
            <w:vAlign w:val="center"/>
          </w:tcPr>
          <w:p w14:paraId="1673F015" w14:textId="77777777" w:rsidR="00F431D6" w:rsidRDefault="004B16E7" w:rsidP="00F431D6">
            <w:pPr>
              <w:spacing w:line="216" w:lineRule="auto"/>
              <w:mirrorIndents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 xml:space="preserve">Modello </w:t>
            </w:r>
            <w:r w:rsidR="00F431D6">
              <w:rPr>
                <w:rFonts w:ascii="Segoe UI" w:hAnsi="Segoe UI" w:cs="Segoe UI"/>
                <w:b/>
                <w:sz w:val="24"/>
                <w:szCs w:val="28"/>
              </w:rPr>
              <w:t>di r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 xml:space="preserve">iepilogo </w:t>
            </w:r>
          </w:p>
          <w:p w14:paraId="3C8E1328" w14:textId="77777777" w:rsidR="000678F4" w:rsidRDefault="00F431D6" w:rsidP="00F431D6">
            <w:pPr>
              <w:spacing w:line="216" w:lineRule="auto"/>
              <w:mirrorIndents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 xml:space="preserve">del </w:t>
            </w:r>
            <w:r w:rsidR="004B16E7" w:rsidRPr="005E48B6">
              <w:rPr>
                <w:rFonts w:ascii="Segoe UI" w:hAnsi="Segoe UI" w:cs="Segoe UI"/>
                <w:b/>
                <w:sz w:val="24"/>
                <w:szCs w:val="28"/>
              </w:rPr>
              <w:t>Monitoraggio Annuale</w:t>
            </w:r>
          </w:p>
          <w:p w14:paraId="63BB9A65" w14:textId="1D53C69E" w:rsidR="00F431D6" w:rsidRPr="00F431D6" w:rsidRDefault="00F431D6" w:rsidP="00F431D6">
            <w:pPr>
              <w:spacing w:line="216" w:lineRule="auto"/>
              <w:mirrorIndents/>
              <w:jc w:val="right"/>
              <w:rPr>
                <w:rFonts w:ascii="Segoe UI" w:hAnsi="Segoe UI" w:cs="Segoe UI"/>
                <w:sz w:val="24"/>
                <w:szCs w:val="28"/>
              </w:rPr>
            </w:pPr>
            <w:r w:rsidRPr="00F431D6">
              <w:rPr>
                <w:rFonts w:ascii="Segoe UI" w:hAnsi="Segoe UI" w:cs="Segoe UI"/>
                <w:szCs w:val="28"/>
              </w:rPr>
              <w:t>a cura del Gruppo di Riesame</w:t>
            </w:r>
          </w:p>
        </w:tc>
      </w:tr>
    </w:tbl>
    <w:p w14:paraId="5216190A" w14:textId="77777777" w:rsidR="00CF6ADA" w:rsidRPr="00514117" w:rsidRDefault="00CF6ADA" w:rsidP="00CE0FAD">
      <w:pPr>
        <w:mirrorIndents/>
        <w:rPr>
          <w:rFonts w:ascii="Segoe UI" w:hAnsi="Segoe UI" w:cs="Segoe UI"/>
        </w:rPr>
      </w:pP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92"/>
      </w:tblGrid>
      <w:tr w:rsidR="00CF6ADA" w:rsidRPr="005E48B6" w14:paraId="1576157D" w14:textId="77777777" w:rsidTr="00CE0FAD">
        <w:trPr>
          <w:jc w:val="center"/>
        </w:trPr>
        <w:tc>
          <w:tcPr>
            <w:tcW w:w="9392" w:type="dxa"/>
            <w:shd w:val="clear" w:color="auto" w:fill="auto"/>
            <w:vAlign w:val="center"/>
          </w:tcPr>
          <w:p w14:paraId="5E9A5194" w14:textId="77777777" w:rsidR="005854DD" w:rsidRDefault="00CF6ADA" w:rsidP="005854DD">
            <w:pPr>
              <w:spacing w:after="160" w:line="259" w:lineRule="auto"/>
              <w:mirrorIndents/>
              <w:rPr>
                <w:rFonts w:ascii="Segoe UI" w:eastAsiaTheme="minorHAnsi" w:hAnsi="Segoe UI" w:cs="Segoe UI"/>
                <w:b/>
                <w:szCs w:val="22"/>
                <w:lang w:eastAsia="en-US"/>
              </w:rPr>
            </w:pPr>
            <w:r w:rsidRPr="005E48B6">
              <w:rPr>
                <w:rFonts w:ascii="Segoe UI" w:eastAsiaTheme="minorHAnsi" w:hAnsi="Segoe UI" w:cs="Segoe UI"/>
                <w:b/>
                <w:szCs w:val="22"/>
                <w:lang w:eastAsia="en-US"/>
              </w:rPr>
              <w:t>Denominazione del Corso di Studio:</w:t>
            </w:r>
          </w:p>
          <w:p w14:paraId="6621219A" w14:textId="29F607E9" w:rsidR="005854DD" w:rsidRPr="00322080" w:rsidRDefault="005854DD" w:rsidP="005854DD">
            <w:pPr>
              <w:spacing w:after="160" w:line="259" w:lineRule="auto"/>
              <w:mirrorIndents/>
              <w:rPr>
                <w:rFonts w:asciiTheme="minorHAnsi" w:eastAsiaTheme="minorHAnsi" w:hAnsiTheme="minorHAnsi" w:cs="Segoe UI"/>
                <w:b/>
                <w:smallCaps/>
                <w:sz w:val="24"/>
                <w:szCs w:val="22"/>
                <w:lang w:eastAsia="en-US"/>
              </w:rPr>
            </w:pPr>
            <w:r w:rsidRPr="00322080">
              <w:rPr>
                <w:rFonts w:asciiTheme="minorHAnsi" w:eastAsiaTheme="minorHAnsi" w:hAnsiTheme="minorHAnsi" w:cs="Segoe UI"/>
                <w:b/>
                <w:smallCaps/>
                <w:sz w:val="24"/>
                <w:szCs w:val="22"/>
                <w:lang w:eastAsia="en-US"/>
              </w:rPr>
              <w:t>Diritto dell’impresa, del lavoro e delle Pubbliche Amministrazioni</w:t>
            </w:r>
          </w:p>
          <w:p w14:paraId="7F30FD65" w14:textId="54318DA4" w:rsidR="00CF6ADA" w:rsidRPr="005B388F" w:rsidRDefault="00CF6ADA" w:rsidP="005B388F">
            <w:pPr>
              <w:spacing w:after="160" w:line="259" w:lineRule="auto"/>
              <w:mirrorIndents/>
              <w:rPr>
                <w:rFonts w:ascii="Segoe UI" w:eastAsiaTheme="minorHAnsi" w:hAnsi="Segoe UI" w:cs="Segoe UI"/>
                <w:b/>
                <w:szCs w:val="22"/>
                <w:lang w:eastAsia="en-US"/>
              </w:rPr>
            </w:pPr>
            <w:r w:rsidRPr="005E48B6">
              <w:rPr>
                <w:rFonts w:ascii="Segoe UI" w:eastAsiaTheme="minorHAnsi" w:hAnsi="Segoe UI" w:cs="Segoe UI"/>
                <w:b/>
                <w:szCs w:val="22"/>
                <w:lang w:eastAsia="en-US"/>
              </w:rPr>
              <w:t>Classe</w:t>
            </w:r>
            <w:r w:rsidR="001945D2">
              <w:rPr>
                <w:rFonts w:ascii="Segoe UI" w:eastAsiaTheme="minorHAnsi" w:hAnsi="Segoe UI" w:cs="Segoe UI"/>
                <w:b/>
                <w:szCs w:val="22"/>
                <w:lang w:eastAsia="en-US"/>
              </w:rPr>
              <w:t xml:space="preserve"> di Laurea</w:t>
            </w:r>
            <w:r w:rsidRPr="005E48B6">
              <w:rPr>
                <w:rFonts w:ascii="Segoe UI" w:eastAsiaTheme="minorHAnsi" w:hAnsi="Segoe UI" w:cs="Segoe UI"/>
                <w:b/>
                <w:szCs w:val="22"/>
                <w:lang w:eastAsia="en-US"/>
              </w:rPr>
              <w:t>:</w:t>
            </w:r>
            <w:r w:rsidR="005854DD">
              <w:rPr>
                <w:rFonts w:ascii="Segoe UI" w:eastAsiaTheme="minorHAnsi" w:hAnsi="Segoe UI" w:cs="Segoe UI"/>
                <w:b/>
                <w:szCs w:val="22"/>
                <w:lang w:eastAsia="en-US"/>
              </w:rPr>
              <w:t xml:space="preserve">  </w:t>
            </w:r>
            <w:r w:rsidR="005854DD">
              <w:rPr>
                <w:rFonts w:asciiTheme="minorHAnsi" w:eastAsiaTheme="minorHAnsi" w:hAnsiTheme="minorHAnsi" w:cs="Segoe UI"/>
                <w:b/>
                <w:sz w:val="22"/>
                <w:szCs w:val="22"/>
                <w:lang w:eastAsia="en-US"/>
              </w:rPr>
              <w:t xml:space="preserve">L-14 </w:t>
            </w:r>
            <w:r w:rsidR="005854DD" w:rsidRPr="00F9358B">
              <w:rPr>
                <w:rFonts w:asciiTheme="minorHAnsi" w:eastAsiaTheme="minorHAnsi" w:hAnsiTheme="minorHAnsi" w:cs="Segoe UI"/>
                <w:b/>
                <w:sz w:val="22"/>
                <w:szCs w:val="22"/>
                <w:lang w:eastAsia="en-US"/>
              </w:rPr>
              <w:t>Scienze dei servizi giuridici</w:t>
            </w:r>
          </w:p>
        </w:tc>
      </w:tr>
    </w:tbl>
    <w:p w14:paraId="6E231162" w14:textId="77777777" w:rsidR="00CF6ADA" w:rsidRPr="00514117" w:rsidRDefault="00CF6ADA" w:rsidP="00CE0FAD">
      <w:pPr>
        <w:mirrorIndents/>
        <w:jc w:val="both"/>
        <w:rPr>
          <w:rFonts w:ascii="Segoe UI" w:hAnsi="Segoe UI" w:cs="Segoe UI"/>
          <w:b/>
          <w:smallCaps/>
        </w:rPr>
      </w:pP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92"/>
      </w:tblGrid>
      <w:tr w:rsidR="00CF6ADA" w:rsidRPr="005E48B6" w14:paraId="6E70D3BB" w14:textId="77777777" w:rsidTr="00CE0FAD">
        <w:trPr>
          <w:jc w:val="center"/>
        </w:trPr>
        <w:tc>
          <w:tcPr>
            <w:tcW w:w="9392" w:type="dxa"/>
            <w:shd w:val="clear" w:color="auto" w:fill="auto"/>
            <w:vAlign w:val="center"/>
          </w:tcPr>
          <w:p w14:paraId="525EC68D" w14:textId="35B31FA0" w:rsidR="00CF6ADA" w:rsidRPr="005E48B6" w:rsidRDefault="001D6EF2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b/>
                <w:szCs w:val="22"/>
              </w:rPr>
              <w:t xml:space="preserve">Composizione del </w:t>
            </w:r>
            <w:r w:rsidR="00CF6ADA" w:rsidRPr="005E48B6">
              <w:rPr>
                <w:rFonts w:ascii="Segoe UI" w:hAnsi="Segoe UI" w:cs="Segoe UI"/>
                <w:b/>
                <w:szCs w:val="22"/>
              </w:rPr>
              <w:t xml:space="preserve">Gruppo di Riesame </w:t>
            </w:r>
          </w:p>
          <w:p w14:paraId="18F3E312" w14:textId="77777777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i/>
                <w:szCs w:val="22"/>
              </w:rPr>
            </w:pPr>
            <w:r w:rsidRPr="005E48B6">
              <w:rPr>
                <w:rFonts w:ascii="Segoe UI" w:hAnsi="Segoe UI" w:cs="Segoe UI"/>
                <w:i/>
                <w:szCs w:val="22"/>
              </w:rPr>
              <w:t>Componenti obbligatori:</w:t>
            </w:r>
          </w:p>
          <w:p w14:paraId="5F5AE6D4" w14:textId="495BE098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 w:rsidRPr="005E48B6">
              <w:rPr>
                <w:rFonts w:ascii="Segoe UI" w:hAnsi="Segoe UI" w:cs="Segoe UI"/>
                <w:noProof/>
                <w:szCs w:val="22"/>
              </w:rPr>
              <w:t>Prof.</w:t>
            </w:r>
            <w:r w:rsidRPr="005E48B6">
              <w:rPr>
                <w:rFonts w:ascii="Segoe UI" w:hAnsi="Segoe UI" w:cs="Segoe UI"/>
                <w:szCs w:val="22"/>
              </w:rPr>
              <w:t xml:space="preserve"> </w:t>
            </w:r>
            <w:r w:rsidR="005854DD">
              <w:rPr>
                <w:rFonts w:ascii="Segoe UI" w:hAnsi="Segoe UI" w:cs="Segoe UI"/>
                <w:szCs w:val="22"/>
                <w:lang w:val="sv-SE"/>
              </w:rPr>
              <w:t xml:space="preserve">Domenico Notaro </w:t>
            </w:r>
            <w:r w:rsidRPr="005E48B6">
              <w:rPr>
                <w:rFonts w:ascii="Segoe UI" w:hAnsi="Segoe UI" w:cs="Segoe UI"/>
                <w:szCs w:val="22"/>
              </w:rPr>
              <w:t xml:space="preserve">(Presidente del </w:t>
            </w:r>
            <w:proofErr w:type="spellStart"/>
            <w:proofErr w:type="gramStart"/>
            <w:r w:rsidRPr="005E48B6">
              <w:rPr>
                <w:rFonts w:ascii="Segoe UI" w:hAnsi="Segoe UI" w:cs="Segoe UI"/>
                <w:szCs w:val="22"/>
              </w:rPr>
              <w:t>CdS</w:t>
            </w:r>
            <w:proofErr w:type="spellEnd"/>
            <w:r w:rsidRPr="005E48B6">
              <w:rPr>
                <w:rFonts w:ascii="Segoe UI" w:hAnsi="Segoe UI" w:cs="Segoe UI"/>
                <w:szCs w:val="22"/>
              </w:rPr>
              <w:t xml:space="preserve"> </w:t>
            </w:r>
            <w:r w:rsidR="005854DD">
              <w:rPr>
                <w:rFonts w:ascii="Segoe UI" w:hAnsi="Segoe UI" w:cs="Segoe UI"/>
                <w:szCs w:val="22"/>
              </w:rPr>
              <w:t xml:space="preserve"> e</w:t>
            </w:r>
            <w:proofErr w:type="gramEnd"/>
            <w:r w:rsidRPr="005E48B6">
              <w:rPr>
                <w:rFonts w:ascii="Segoe UI" w:hAnsi="Segoe UI" w:cs="Segoe UI"/>
                <w:szCs w:val="22"/>
              </w:rPr>
              <w:t xml:space="preserve"> Responsabile del </w:t>
            </w:r>
            <w:r w:rsidR="00A87E8E">
              <w:rPr>
                <w:rFonts w:ascii="Segoe UI" w:hAnsi="Segoe UI" w:cs="Segoe UI"/>
                <w:szCs w:val="22"/>
              </w:rPr>
              <w:t xml:space="preserve">Gruppo di </w:t>
            </w:r>
            <w:r w:rsidRPr="005E48B6">
              <w:rPr>
                <w:rFonts w:ascii="Segoe UI" w:hAnsi="Segoe UI" w:cs="Segoe UI"/>
                <w:szCs w:val="22"/>
              </w:rPr>
              <w:t>Riesame</w:t>
            </w:r>
            <w:r w:rsidR="00A87E8E">
              <w:rPr>
                <w:rFonts w:ascii="Segoe UI" w:hAnsi="Segoe UI" w:cs="Segoe UI"/>
                <w:szCs w:val="22"/>
              </w:rPr>
              <w:t>)</w:t>
            </w:r>
          </w:p>
          <w:p w14:paraId="3D56432F" w14:textId="08D16D9F" w:rsidR="00A87E8E" w:rsidRDefault="005854DD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  <w:lang w:val="sv-SE"/>
              </w:rPr>
            </w:pPr>
            <w:r>
              <w:rPr>
                <w:rFonts w:ascii="Segoe UI" w:hAnsi="Segoe UI" w:cs="Segoe UI"/>
                <w:szCs w:val="22"/>
                <w:lang w:val="sv-SE"/>
              </w:rPr>
              <w:t xml:space="preserve">Sig.ra Ilaria Logiurato </w:t>
            </w:r>
            <w:r w:rsidR="00CF6ADA" w:rsidRPr="005E48B6">
              <w:rPr>
                <w:rFonts w:ascii="Segoe UI" w:hAnsi="Segoe UI" w:cs="Segoe UI"/>
                <w:szCs w:val="22"/>
                <w:lang w:val="sv-SE"/>
              </w:rPr>
              <w:t>(Rappresentante degli studenti)</w:t>
            </w:r>
          </w:p>
          <w:p w14:paraId="315C38B1" w14:textId="77777777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  <w:lang w:val="sv-SE"/>
              </w:rPr>
            </w:pPr>
          </w:p>
          <w:p w14:paraId="39F7B73E" w14:textId="77777777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i/>
                <w:szCs w:val="22"/>
                <w:lang w:val="sv-SE"/>
              </w:rPr>
            </w:pPr>
            <w:r w:rsidRPr="005E48B6">
              <w:rPr>
                <w:rFonts w:ascii="Segoe UI" w:hAnsi="Segoe UI" w:cs="Segoe UI"/>
                <w:i/>
                <w:szCs w:val="22"/>
                <w:lang w:val="sv-SE"/>
              </w:rPr>
              <w:t>Altri componenti:</w:t>
            </w:r>
          </w:p>
          <w:p w14:paraId="6F3D904D" w14:textId="0570258C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 w:rsidRPr="005E48B6">
              <w:rPr>
                <w:rFonts w:ascii="Segoe UI" w:hAnsi="Segoe UI" w:cs="Segoe UI"/>
                <w:szCs w:val="22"/>
                <w:lang w:val="sv-SE"/>
              </w:rPr>
              <w:t xml:space="preserve">Prof.  </w:t>
            </w:r>
            <w:r w:rsidR="005854DD">
              <w:rPr>
                <w:rFonts w:ascii="Segoe UI" w:hAnsi="Segoe UI" w:cs="Segoe UI"/>
                <w:szCs w:val="22"/>
                <w:lang w:val="sv-SE"/>
              </w:rPr>
              <w:t xml:space="preserve">Gianluca Famiglietti </w:t>
            </w:r>
            <w:r w:rsidRPr="005E48B6">
              <w:rPr>
                <w:rFonts w:ascii="Segoe UI" w:hAnsi="Segoe UI" w:cs="Segoe UI"/>
                <w:szCs w:val="22"/>
              </w:rPr>
              <w:t xml:space="preserve">(Docente del </w:t>
            </w:r>
            <w:proofErr w:type="spellStart"/>
            <w:r w:rsidRPr="005E48B6">
              <w:rPr>
                <w:rFonts w:ascii="Segoe UI" w:hAnsi="Segoe UI" w:cs="Segoe UI"/>
                <w:szCs w:val="22"/>
              </w:rPr>
              <w:t>CdS</w:t>
            </w:r>
            <w:proofErr w:type="spellEnd"/>
            <w:r w:rsidRPr="005E48B6">
              <w:rPr>
                <w:rFonts w:ascii="Segoe UI" w:hAnsi="Segoe UI" w:cs="Segoe UI"/>
                <w:szCs w:val="22"/>
              </w:rPr>
              <w:t xml:space="preserve">) </w:t>
            </w:r>
          </w:p>
          <w:p w14:paraId="27D5BE74" w14:textId="12F67CFC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 w:rsidRPr="005E48B6">
              <w:rPr>
                <w:rFonts w:ascii="Segoe UI" w:hAnsi="Segoe UI" w:cs="Segoe UI"/>
                <w:szCs w:val="22"/>
                <w:lang w:val="sv-SE"/>
              </w:rPr>
              <w:t xml:space="preserve">Prof.ssa  </w:t>
            </w:r>
            <w:r w:rsidR="005854DD">
              <w:rPr>
                <w:rFonts w:ascii="Segoe UI" w:hAnsi="Segoe UI" w:cs="Segoe UI"/>
                <w:szCs w:val="22"/>
                <w:lang w:val="sv-SE"/>
              </w:rPr>
              <w:t xml:space="preserve">Ilaria Kutufà </w:t>
            </w:r>
            <w:r w:rsidRPr="005E48B6">
              <w:rPr>
                <w:rFonts w:ascii="Segoe UI" w:hAnsi="Segoe UI" w:cs="Segoe UI"/>
                <w:szCs w:val="22"/>
              </w:rPr>
              <w:t xml:space="preserve">(Docente del </w:t>
            </w:r>
            <w:proofErr w:type="spellStart"/>
            <w:r w:rsidRPr="005E48B6">
              <w:rPr>
                <w:rFonts w:ascii="Segoe UI" w:hAnsi="Segoe UI" w:cs="Segoe UI"/>
                <w:szCs w:val="22"/>
              </w:rPr>
              <w:t>CdS</w:t>
            </w:r>
            <w:proofErr w:type="spellEnd"/>
            <w:r w:rsidRPr="005E48B6">
              <w:rPr>
                <w:rFonts w:ascii="Segoe UI" w:hAnsi="Segoe UI" w:cs="Segoe UI"/>
                <w:szCs w:val="22"/>
              </w:rPr>
              <w:t xml:space="preserve">) </w:t>
            </w:r>
          </w:p>
          <w:p w14:paraId="45A0E788" w14:textId="3B156B0D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 w:rsidRPr="005E48B6">
              <w:rPr>
                <w:rFonts w:ascii="Segoe UI" w:hAnsi="Segoe UI" w:cs="Segoe UI"/>
                <w:noProof/>
                <w:szCs w:val="22"/>
              </w:rPr>
              <w:t>Dott.ssa</w:t>
            </w:r>
            <w:r w:rsidRPr="005E48B6">
              <w:rPr>
                <w:rFonts w:ascii="Segoe UI" w:hAnsi="Segoe UI" w:cs="Segoe UI"/>
                <w:szCs w:val="22"/>
              </w:rPr>
              <w:t xml:space="preserve"> </w:t>
            </w:r>
            <w:r w:rsidR="005854DD">
              <w:rPr>
                <w:rFonts w:ascii="Segoe UI" w:hAnsi="Segoe UI" w:cs="Segoe UI"/>
                <w:szCs w:val="22"/>
                <w:lang w:val="sv-SE"/>
              </w:rPr>
              <w:t xml:space="preserve">Maria Pia Sanvito </w:t>
            </w:r>
            <w:r w:rsidRPr="005E48B6">
              <w:rPr>
                <w:rFonts w:ascii="Segoe UI" w:hAnsi="Segoe UI" w:cs="Segoe UI"/>
                <w:szCs w:val="22"/>
              </w:rPr>
              <w:t>(Tecnico amministrativo con funzione di Responsabile dell’Unità Didattica)</w:t>
            </w:r>
          </w:p>
          <w:p w14:paraId="33A8921D" w14:textId="77777777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</w:p>
          <w:p w14:paraId="66BBC8B4" w14:textId="478CE158" w:rsidR="00CF6ADA" w:rsidRPr="005E48B6" w:rsidRDefault="00CF6ADA" w:rsidP="00CE0FAD">
            <w:pPr>
              <w:spacing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 w:rsidRPr="005E48B6">
              <w:rPr>
                <w:rFonts w:ascii="Segoe UI" w:hAnsi="Segoe UI" w:cs="Segoe UI"/>
                <w:szCs w:val="22"/>
              </w:rPr>
              <w:t>Il Gruppo di Riesam</w:t>
            </w:r>
            <w:r w:rsidR="00122884">
              <w:rPr>
                <w:rFonts w:ascii="Segoe UI" w:hAnsi="Segoe UI" w:cs="Segoe UI"/>
                <w:szCs w:val="22"/>
              </w:rPr>
              <w:t>e</w:t>
            </w:r>
            <w:r w:rsidRPr="005E48B6">
              <w:rPr>
                <w:rFonts w:ascii="Segoe UI" w:hAnsi="Segoe UI" w:cs="Segoe UI"/>
                <w:szCs w:val="22"/>
              </w:rPr>
              <w:t xml:space="preserve">, per la discussione degli </w:t>
            </w:r>
            <w:r w:rsidR="00BE2AB4">
              <w:rPr>
                <w:rFonts w:ascii="Segoe UI" w:hAnsi="Segoe UI" w:cs="Segoe UI"/>
                <w:szCs w:val="22"/>
              </w:rPr>
              <w:t>indicatori</w:t>
            </w:r>
            <w:r w:rsidR="00433CBD">
              <w:rPr>
                <w:rFonts w:ascii="Segoe UI" w:hAnsi="Segoe UI" w:cs="Segoe UI"/>
                <w:szCs w:val="22"/>
              </w:rPr>
              <w:t xml:space="preserve"> e la preparazione della </w:t>
            </w:r>
            <w:r w:rsidR="00282D04">
              <w:rPr>
                <w:rFonts w:ascii="Segoe UI" w:hAnsi="Segoe UI" w:cs="Segoe UI"/>
                <w:szCs w:val="22"/>
              </w:rPr>
              <w:t>Scheda di Monitoraggio Annuale</w:t>
            </w:r>
            <w:r w:rsidRPr="005E48B6">
              <w:rPr>
                <w:rFonts w:ascii="Segoe UI" w:hAnsi="Segoe UI" w:cs="Segoe UI"/>
                <w:szCs w:val="22"/>
              </w:rPr>
              <w:t xml:space="preserve">, </w:t>
            </w:r>
            <w:r w:rsidR="00E01482">
              <w:rPr>
                <w:rFonts w:ascii="Segoe UI" w:hAnsi="Segoe UI" w:cs="Segoe UI"/>
                <w:szCs w:val="22"/>
              </w:rPr>
              <w:t xml:space="preserve">ha </w:t>
            </w:r>
            <w:r w:rsidRPr="005E48B6">
              <w:rPr>
                <w:rFonts w:ascii="Segoe UI" w:hAnsi="Segoe UI" w:cs="Segoe UI"/>
                <w:szCs w:val="22"/>
              </w:rPr>
              <w:t>opera</w:t>
            </w:r>
            <w:r w:rsidR="00E01482">
              <w:rPr>
                <w:rFonts w:ascii="Segoe UI" w:hAnsi="Segoe UI" w:cs="Segoe UI"/>
                <w:szCs w:val="22"/>
              </w:rPr>
              <w:t>t</w:t>
            </w:r>
            <w:r w:rsidRPr="005E48B6">
              <w:rPr>
                <w:rFonts w:ascii="Segoe UI" w:hAnsi="Segoe UI" w:cs="Segoe UI"/>
                <w:szCs w:val="22"/>
              </w:rPr>
              <w:t>o com</w:t>
            </w:r>
            <w:r w:rsidR="00122884">
              <w:rPr>
                <w:rFonts w:ascii="Segoe UI" w:hAnsi="Segoe UI" w:cs="Segoe UI"/>
                <w:szCs w:val="22"/>
              </w:rPr>
              <w:t>e</w:t>
            </w:r>
            <w:r w:rsidRPr="005E48B6">
              <w:rPr>
                <w:rFonts w:ascii="Segoe UI" w:hAnsi="Segoe UI" w:cs="Segoe UI"/>
                <w:szCs w:val="22"/>
              </w:rPr>
              <w:t xml:space="preserve"> </w:t>
            </w:r>
            <w:r w:rsidR="00122884">
              <w:rPr>
                <w:rFonts w:ascii="Segoe UI" w:hAnsi="Segoe UI" w:cs="Segoe UI"/>
                <w:szCs w:val="22"/>
              </w:rPr>
              <w:t xml:space="preserve">di seguito descritto (indicare </w:t>
            </w:r>
            <w:r w:rsidR="00E01482">
              <w:rPr>
                <w:rFonts w:ascii="Segoe UI" w:hAnsi="Segoe UI" w:cs="Segoe UI"/>
                <w:szCs w:val="22"/>
              </w:rPr>
              <w:t>per esempio suddivisione d</w:t>
            </w:r>
            <w:r w:rsidR="00AA348B">
              <w:rPr>
                <w:rFonts w:ascii="Segoe UI" w:hAnsi="Segoe UI" w:cs="Segoe UI"/>
                <w:szCs w:val="22"/>
              </w:rPr>
              <w:t>e</w:t>
            </w:r>
            <w:r w:rsidR="00E01482">
              <w:rPr>
                <w:rFonts w:ascii="Segoe UI" w:hAnsi="Segoe UI" w:cs="Segoe UI"/>
                <w:szCs w:val="22"/>
              </w:rPr>
              <w:t>i compiti</w:t>
            </w:r>
            <w:r w:rsidR="00AA348B">
              <w:rPr>
                <w:rFonts w:ascii="Segoe UI" w:hAnsi="Segoe UI" w:cs="Segoe UI"/>
                <w:szCs w:val="22"/>
              </w:rPr>
              <w:t xml:space="preserve"> tra i componenti</w:t>
            </w:r>
            <w:r w:rsidR="00E01482">
              <w:rPr>
                <w:rFonts w:ascii="Segoe UI" w:hAnsi="Segoe UI" w:cs="Segoe UI"/>
                <w:szCs w:val="22"/>
              </w:rPr>
              <w:t xml:space="preserve">, </w:t>
            </w:r>
            <w:r w:rsidR="00122884">
              <w:rPr>
                <w:rFonts w:ascii="Segoe UI" w:hAnsi="Segoe UI" w:cs="Segoe UI"/>
                <w:szCs w:val="22"/>
              </w:rPr>
              <w:t>date</w:t>
            </w:r>
            <w:r w:rsidR="00E01482">
              <w:rPr>
                <w:rFonts w:ascii="Segoe UI" w:hAnsi="Segoe UI" w:cs="Segoe UI"/>
                <w:szCs w:val="22"/>
              </w:rPr>
              <w:t xml:space="preserve"> </w:t>
            </w:r>
            <w:r w:rsidR="00AA348B">
              <w:rPr>
                <w:rFonts w:ascii="Segoe UI" w:hAnsi="Segoe UI" w:cs="Segoe UI"/>
                <w:szCs w:val="22"/>
              </w:rPr>
              <w:t xml:space="preserve">ed oggetto </w:t>
            </w:r>
            <w:r w:rsidR="00E01482">
              <w:rPr>
                <w:rFonts w:ascii="Segoe UI" w:hAnsi="Segoe UI" w:cs="Segoe UI"/>
                <w:szCs w:val="22"/>
              </w:rPr>
              <w:t>degli incontri telematici</w:t>
            </w:r>
            <w:r w:rsidR="00AA348B">
              <w:rPr>
                <w:rFonts w:ascii="Segoe UI" w:hAnsi="Segoe UI" w:cs="Segoe UI"/>
                <w:szCs w:val="22"/>
              </w:rPr>
              <w:t xml:space="preserve"> o de</w:t>
            </w:r>
            <w:r w:rsidR="00C67CE2">
              <w:rPr>
                <w:rFonts w:ascii="Segoe UI" w:hAnsi="Segoe UI" w:cs="Segoe UI"/>
                <w:szCs w:val="22"/>
              </w:rPr>
              <w:t>lla corrispondenza</w:t>
            </w:r>
            <w:r w:rsidR="00AA348B">
              <w:rPr>
                <w:rFonts w:ascii="Segoe UI" w:hAnsi="Segoe UI" w:cs="Segoe UI"/>
                <w:szCs w:val="22"/>
              </w:rPr>
              <w:t xml:space="preserve"> </w:t>
            </w:r>
            <w:r w:rsidR="00433D58">
              <w:rPr>
                <w:rFonts w:ascii="Segoe UI" w:hAnsi="Segoe UI" w:cs="Segoe UI"/>
                <w:szCs w:val="22"/>
              </w:rPr>
              <w:t>via</w:t>
            </w:r>
            <w:r w:rsidR="00AA348B">
              <w:rPr>
                <w:rFonts w:ascii="Segoe UI" w:hAnsi="Segoe UI" w:cs="Segoe UI"/>
                <w:szCs w:val="22"/>
              </w:rPr>
              <w:t xml:space="preserve"> </w:t>
            </w:r>
            <w:r w:rsidR="004848B4">
              <w:rPr>
                <w:rFonts w:ascii="Segoe UI" w:hAnsi="Segoe UI" w:cs="Segoe UI"/>
                <w:szCs w:val="22"/>
              </w:rPr>
              <w:t>email</w:t>
            </w:r>
            <w:r w:rsidR="00E01482">
              <w:rPr>
                <w:rFonts w:ascii="Segoe UI" w:hAnsi="Segoe UI" w:cs="Segoe UI"/>
                <w:szCs w:val="22"/>
              </w:rPr>
              <w:t>)</w:t>
            </w:r>
            <w:r w:rsidRPr="005E48B6">
              <w:rPr>
                <w:rFonts w:ascii="Segoe UI" w:hAnsi="Segoe UI" w:cs="Segoe UI"/>
                <w:szCs w:val="22"/>
              </w:rPr>
              <w:t>:</w:t>
            </w:r>
          </w:p>
          <w:p w14:paraId="2622D2E9" w14:textId="610F2B0F" w:rsidR="005854DD" w:rsidRPr="005E48B6" w:rsidRDefault="005854DD" w:rsidP="005854DD">
            <w:pPr>
              <w:numPr>
                <w:ilvl w:val="0"/>
                <w:numId w:val="1"/>
              </w:numPr>
              <w:spacing w:before="120"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b/>
                <w:szCs w:val="22"/>
              </w:rPr>
              <w:t>10/11/2020</w:t>
            </w:r>
            <w:r w:rsidRPr="005E48B6">
              <w:rPr>
                <w:rFonts w:ascii="Segoe UI" w:hAnsi="Segoe UI" w:cs="Segoe UI"/>
                <w:b/>
                <w:szCs w:val="22"/>
              </w:rPr>
              <w:t>,</w:t>
            </w:r>
            <w:r w:rsidRPr="00A97FA2">
              <w:rPr>
                <w:rFonts w:asciiTheme="minorHAnsi" w:eastAsiaTheme="minorHAnsi" w:hAnsiTheme="minorHAnsi" w:cs="Segoe U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Segoe UI" w:hAnsi="Segoe UI" w:cs="Segoe UI"/>
                <w:szCs w:val="22"/>
              </w:rPr>
              <w:t>analisi degli indicatori,</w:t>
            </w:r>
            <w:r w:rsidRPr="00A97FA2">
              <w:rPr>
                <w:rFonts w:ascii="Segoe UI" w:hAnsi="Segoe UI" w:cs="Segoe UI"/>
                <w:szCs w:val="22"/>
              </w:rPr>
              <w:t xml:space="preserve"> discussione di </w:t>
            </w:r>
            <w:r>
              <w:rPr>
                <w:rFonts w:ascii="Segoe UI" w:hAnsi="Segoe UI" w:cs="Segoe UI"/>
                <w:szCs w:val="22"/>
              </w:rPr>
              <w:t xml:space="preserve">intervenute variazioni di tendenze e rilevazione di eventuali </w:t>
            </w:r>
            <w:r w:rsidRPr="00A97FA2">
              <w:rPr>
                <w:rFonts w:ascii="Segoe UI" w:hAnsi="Segoe UI" w:cs="Segoe UI"/>
                <w:szCs w:val="22"/>
              </w:rPr>
              <w:t>criticità</w:t>
            </w:r>
            <w:r>
              <w:rPr>
                <w:rFonts w:ascii="Segoe UI" w:hAnsi="Segoe UI" w:cs="Segoe UI"/>
                <w:szCs w:val="22"/>
              </w:rPr>
              <w:t xml:space="preserve"> o segnalazioni utili alla redazione della scheda; suddivisione dei compiti in vista della successiva riunione</w:t>
            </w:r>
          </w:p>
          <w:p w14:paraId="2101F0D0" w14:textId="7953E6B1" w:rsidR="005854DD" w:rsidRPr="005E48B6" w:rsidRDefault="005854DD" w:rsidP="005854DD">
            <w:pPr>
              <w:numPr>
                <w:ilvl w:val="0"/>
                <w:numId w:val="1"/>
              </w:numPr>
              <w:spacing w:before="120" w:after="160" w:line="259" w:lineRule="auto"/>
              <w:mirrorIndents/>
              <w:rPr>
                <w:rFonts w:ascii="Segoe UI" w:hAnsi="Segoe UI" w:cs="Segoe UI"/>
                <w:szCs w:val="22"/>
              </w:rPr>
            </w:pPr>
            <w:r w:rsidRPr="005E48B6">
              <w:rPr>
                <w:rFonts w:ascii="Segoe UI" w:hAnsi="Segoe UI" w:cs="Segoe UI"/>
                <w:b/>
                <w:szCs w:val="22"/>
              </w:rPr>
              <w:t xml:space="preserve"> </w:t>
            </w:r>
            <w:r>
              <w:rPr>
                <w:rFonts w:ascii="Segoe UI" w:hAnsi="Segoe UI" w:cs="Segoe UI"/>
                <w:b/>
                <w:szCs w:val="22"/>
              </w:rPr>
              <w:t xml:space="preserve">17/11/2020, </w:t>
            </w:r>
            <w:r>
              <w:rPr>
                <w:rFonts w:ascii="Segoe UI" w:hAnsi="Segoe UI" w:cs="Segoe UI"/>
                <w:szCs w:val="22"/>
              </w:rPr>
              <w:t>verifica dei contenuti della scheda, rilievi e suggerimenti, condivisione e approvazione della scheda.</w:t>
            </w:r>
          </w:p>
          <w:p w14:paraId="23242DB6" w14:textId="77777777" w:rsidR="003E26F0" w:rsidRPr="005854DD" w:rsidRDefault="003E26F0" w:rsidP="00E01482">
            <w:pPr>
              <w:spacing w:before="120"/>
              <w:ind w:left="794"/>
              <w:mirrorIndents/>
              <w:rPr>
                <w:rFonts w:ascii="Segoe UI" w:hAnsi="Segoe UI" w:cs="Segoe UI"/>
                <w:bCs/>
                <w:szCs w:val="22"/>
              </w:rPr>
            </w:pPr>
          </w:p>
          <w:p w14:paraId="53333478" w14:textId="20C178CE" w:rsidR="00CF6ADA" w:rsidRPr="005E48B6" w:rsidRDefault="00CF6ADA" w:rsidP="00E01482">
            <w:pPr>
              <w:spacing w:before="120" w:after="160" w:line="259" w:lineRule="auto"/>
              <w:mirrorIndents/>
              <w:rPr>
                <w:rFonts w:ascii="Segoe UI" w:hAnsi="Segoe UI" w:cs="Segoe UI"/>
                <w:szCs w:val="22"/>
              </w:rPr>
            </w:pPr>
          </w:p>
        </w:tc>
      </w:tr>
    </w:tbl>
    <w:p w14:paraId="79779B99" w14:textId="77777777" w:rsidR="00CF6ADA" w:rsidRPr="00514117" w:rsidRDefault="00CF6ADA" w:rsidP="00CE0FAD">
      <w:pPr>
        <w:mirrorIndents/>
        <w:rPr>
          <w:rFonts w:ascii="Segoe UI" w:hAnsi="Segoe UI" w:cs="Segoe UI"/>
          <w:sz w:val="10"/>
        </w:rPr>
      </w:pPr>
    </w:p>
    <w:p w14:paraId="7C9947B8" w14:textId="77777777" w:rsidR="001C1D68" w:rsidRDefault="001C1D68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92"/>
      </w:tblGrid>
      <w:tr w:rsidR="00CF6ADA" w:rsidRPr="005E48B6" w14:paraId="7727EFAB" w14:textId="77777777" w:rsidTr="005847BB">
        <w:trPr>
          <w:jc w:val="center"/>
        </w:trPr>
        <w:tc>
          <w:tcPr>
            <w:tcW w:w="9392" w:type="dxa"/>
            <w:shd w:val="clear" w:color="auto" w:fill="D5DCE4"/>
            <w:vAlign w:val="center"/>
          </w:tcPr>
          <w:p w14:paraId="1F6169E3" w14:textId="77777777" w:rsidR="00CF6ADA" w:rsidRPr="005E48B6" w:rsidRDefault="00CF6ADA" w:rsidP="00CE0FAD">
            <w:pPr>
              <w:spacing w:line="216" w:lineRule="auto"/>
              <w:mirrorIndents/>
              <w:rPr>
                <w:rFonts w:ascii="Segoe UI" w:hAnsi="Segoe UI" w:cs="Segoe UI"/>
                <w:b/>
                <w:sz w:val="22"/>
                <w:szCs w:val="28"/>
              </w:rPr>
            </w:pPr>
            <w:r w:rsidRPr="005E48B6">
              <w:rPr>
                <w:rFonts w:ascii="Segoe UI" w:hAnsi="Segoe UI" w:cs="Segoe UI"/>
                <w:b/>
                <w:sz w:val="22"/>
                <w:szCs w:val="28"/>
              </w:rPr>
              <w:lastRenderedPageBreak/>
              <w:t>BREVE COMMENTO AGLI INDICATORI</w:t>
            </w:r>
          </w:p>
        </w:tc>
      </w:tr>
    </w:tbl>
    <w:p w14:paraId="30EF970A" w14:textId="3AD28365" w:rsidR="003D0E30" w:rsidRPr="005E48B6" w:rsidRDefault="003D0E30" w:rsidP="003D0E30">
      <w:pPr>
        <w:pStyle w:val="Default"/>
        <w:mirrorIndents/>
        <w:jc w:val="both"/>
        <w:rPr>
          <w:i/>
          <w:sz w:val="16"/>
          <w:szCs w:val="18"/>
        </w:rPr>
      </w:pPr>
      <w:r w:rsidRPr="005E48B6">
        <w:rPr>
          <w:i/>
          <w:sz w:val="16"/>
          <w:szCs w:val="18"/>
        </w:rPr>
        <w:t>(</w:t>
      </w:r>
      <w:r w:rsidR="00821E81">
        <w:rPr>
          <w:i/>
          <w:sz w:val="16"/>
          <w:szCs w:val="18"/>
        </w:rPr>
        <w:t>L</w:t>
      </w:r>
      <w:r>
        <w:rPr>
          <w:i/>
          <w:sz w:val="16"/>
          <w:szCs w:val="18"/>
        </w:rPr>
        <w:t xml:space="preserve">unghezza </w:t>
      </w:r>
      <w:r w:rsidR="00075F4E" w:rsidRPr="00075F4E">
        <w:rPr>
          <w:i/>
          <w:sz w:val="16"/>
          <w:szCs w:val="18"/>
        </w:rPr>
        <w:t>indicativ</w:t>
      </w:r>
      <w:r w:rsidR="00044895">
        <w:rPr>
          <w:i/>
          <w:sz w:val="16"/>
          <w:szCs w:val="18"/>
        </w:rPr>
        <w:t>a</w:t>
      </w:r>
      <w:r w:rsidR="00075F4E" w:rsidRPr="00075F4E">
        <w:rPr>
          <w:i/>
          <w:sz w:val="16"/>
          <w:szCs w:val="18"/>
        </w:rPr>
        <w:t xml:space="preserve"> tra 3.500 e 7.500 caratteri, in relazione al numero di indicatori scelti</w:t>
      </w:r>
      <w:r w:rsidRPr="00E410E2">
        <w:rPr>
          <w:i/>
          <w:sz w:val="16"/>
          <w:szCs w:val="18"/>
        </w:rPr>
        <w:t>)</w:t>
      </w: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92"/>
      </w:tblGrid>
      <w:tr w:rsidR="00CF6ADA" w:rsidRPr="005E48B6" w14:paraId="3DAA9380" w14:textId="77777777" w:rsidTr="005847BB">
        <w:trPr>
          <w:jc w:val="center"/>
        </w:trPr>
        <w:tc>
          <w:tcPr>
            <w:tcW w:w="9392" w:type="dxa"/>
            <w:shd w:val="clear" w:color="auto" w:fill="auto"/>
            <w:vAlign w:val="center"/>
          </w:tcPr>
          <w:p w14:paraId="669093E7" w14:textId="600FF0A2" w:rsidR="005854DD" w:rsidRDefault="00757E9B" w:rsidP="005854DD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 quanto concerne g</w:t>
            </w:r>
            <w:r w:rsidR="005854DD">
              <w:rPr>
                <w:rFonts w:asciiTheme="minorHAnsi" w:hAnsiTheme="minorHAnsi" w:cstheme="minorHAnsi"/>
                <w:sz w:val="22"/>
                <w:szCs w:val="22"/>
              </w:rPr>
              <w:t xml:space="preserve">li </w:t>
            </w:r>
            <w:r w:rsidR="005854DD" w:rsidRPr="00ED3385">
              <w:rPr>
                <w:rFonts w:asciiTheme="minorHAnsi" w:hAnsiTheme="minorHAnsi" w:cstheme="minorHAnsi"/>
                <w:b/>
                <w:sz w:val="22"/>
                <w:szCs w:val="22"/>
              </w:rPr>
              <w:t>indici di attrattività</w:t>
            </w:r>
            <w:r w:rsidR="00857297" w:rsidRPr="0085729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57E9B">
              <w:rPr>
                <w:rFonts w:asciiTheme="minorHAnsi" w:hAnsiTheme="minorHAnsi" w:cstheme="minorHAnsi"/>
                <w:sz w:val="22"/>
                <w:szCs w:val="22"/>
              </w:rPr>
              <w:t>il Corso</w:t>
            </w:r>
            <w:r w:rsidR="005854DD"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565">
              <w:rPr>
                <w:rFonts w:asciiTheme="minorHAnsi" w:hAnsiTheme="minorHAnsi" w:cstheme="minorHAnsi"/>
                <w:sz w:val="22"/>
                <w:szCs w:val="22"/>
              </w:rPr>
              <w:t xml:space="preserve">accusa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tendenza a un lieve </w:t>
            </w:r>
            <w:r w:rsidR="00A03565">
              <w:rPr>
                <w:rFonts w:asciiTheme="minorHAnsi" w:hAnsiTheme="minorHAnsi" w:cstheme="minorHAnsi"/>
                <w:sz w:val="22"/>
                <w:szCs w:val="22"/>
              </w:rPr>
              <w:t>indebolimento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02910">
              <w:rPr>
                <w:rFonts w:asciiTheme="minorHAnsi" w:hAnsiTheme="minorHAnsi" w:cstheme="minorHAnsi"/>
                <w:sz w:val="22"/>
                <w:szCs w:val="22"/>
              </w:rPr>
              <w:t>insinuato</w:t>
            </w:r>
            <w:r w:rsidR="00B66928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="005854DD">
              <w:rPr>
                <w:rFonts w:asciiTheme="minorHAnsi" w:hAnsiTheme="minorHAnsi" w:cstheme="minorHAnsi"/>
                <w:sz w:val="22"/>
                <w:szCs w:val="22"/>
              </w:rPr>
              <w:t>negli ultimi anni</w:t>
            </w:r>
            <w:r w:rsidR="00B66928">
              <w:rPr>
                <w:rFonts w:asciiTheme="minorHAnsi" w:hAnsiTheme="minorHAnsi" w:cstheme="minorHAnsi"/>
                <w:sz w:val="22"/>
                <w:szCs w:val="22"/>
              </w:rPr>
              <w:t xml:space="preserve">, non senza denotare, tuttavia, concomitanti profili di </w:t>
            </w:r>
            <w:r w:rsidR="00A03565">
              <w:rPr>
                <w:rFonts w:asciiTheme="minorHAnsi" w:hAnsiTheme="minorHAnsi" w:cstheme="minorHAnsi"/>
                <w:sz w:val="22"/>
                <w:szCs w:val="22"/>
              </w:rPr>
              <w:t>vitalità</w:t>
            </w:r>
            <w:r w:rsidR="00B669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58A">
              <w:rPr>
                <w:rFonts w:asciiTheme="minorHAnsi" w:hAnsiTheme="minorHAnsi" w:cstheme="minorHAnsi"/>
                <w:sz w:val="22"/>
                <w:szCs w:val="22"/>
              </w:rPr>
              <w:t>È ragionevole supporre che i dati di iscrizione al corso risentano negativamente della dislocazione delle aule di studio, degli uffici docenti</w:t>
            </w:r>
            <w:r w:rsidR="00602910">
              <w:rPr>
                <w:rFonts w:asciiTheme="minorHAnsi" w:hAnsiTheme="minorHAnsi" w:cstheme="minorHAnsi"/>
                <w:sz w:val="22"/>
                <w:szCs w:val="22"/>
              </w:rPr>
              <w:t xml:space="preserve"> e delle biblioteche</w:t>
            </w:r>
            <w:r w:rsidR="00D631B8">
              <w:rPr>
                <w:rFonts w:asciiTheme="minorHAnsi" w:hAnsiTheme="minorHAnsi" w:cstheme="minorHAnsi"/>
                <w:sz w:val="22"/>
                <w:szCs w:val="22"/>
              </w:rPr>
              <w:t>, le quali sono da ormai molti anni distanziate fra loro</w:t>
            </w:r>
            <w:r w:rsidR="00602910">
              <w:rPr>
                <w:rFonts w:asciiTheme="minorHAnsi" w:hAnsiTheme="minorHAnsi" w:cstheme="minorHAnsi"/>
                <w:sz w:val="22"/>
                <w:szCs w:val="22"/>
              </w:rPr>
              <w:t xml:space="preserve"> in zone di</w:t>
            </w:r>
            <w:r w:rsidR="00E0358A">
              <w:rPr>
                <w:rFonts w:asciiTheme="minorHAnsi" w:hAnsiTheme="minorHAnsi" w:cstheme="minorHAnsi"/>
                <w:sz w:val="22"/>
                <w:szCs w:val="22"/>
              </w:rPr>
              <w:t>verse della città</w:t>
            </w:r>
            <w:r w:rsidR="006029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631B8">
              <w:rPr>
                <w:rFonts w:asciiTheme="minorHAnsi" w:hAnsiTheme="minorHAnsi" w:cstheme="minorHAnsi"/>
                <w:sz w:val="22"/>
                <w:szCs w:val="22"/>
              </w:rPr>
              <w:t xml:space="preserve">così </w:t>
            </w:r>
            <w:r w:rsidR="00602910">
              <w:rPr>
                <w:rFonts w:asciiTheme="minorHAnsi" w:hAnsiTheme="minorHAnsi" w:cstheme="minorHAnsi"/>
                <w:sz w:val="22"/>
                <w:szCs w:val="22"/>
              </w:rPr>
              <w:t>da non facilitare una proficua frequenza</w:t>
            </w:r>
            <w:bookmarkStart w:id="0" w:name="_GoBack"/>
            <w:bookmarkEnd w:id="0"/>
            <w:r w:rsidR="006029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31B8">
              <w:rPr>
                <w:rFonts w:asciiTheme="minorHAnsi" w:hAnsiTheme="minorHAnsi" w:cstheme="minorHAnsi"/>
                <w:sz w:val="22"/>
                <w:szCs w:val="22"/>
              </w:rPr>
              <w:t xml:space="preserve">da parte </w:t>
            </w:r>
            <w:r w:rsidR="00602910">
              <w:rPr>
                <w:rFonts w:asciiTheme="minorHAnsi" w:hAnsiTheme="minorHAnsi" w:cstheme="minorHAnsi"/>
                <w:sz w:val="22"/>
                <w:szCs w:val="22"/>
              </w:rPr>
              <w:t>degli studenti</w:t>
            </w:r>
            <w:r w:rsidR="00E0358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66928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calo investe</w:t>
            </w:r>
            <w:r w:rsidR="00B669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soprattutto il dato degli immatricolati puri (</w:t>
            </w:r>
            <w:r w:rsidRPr="00A33650">
              <w:rPr>
                <w:rFonts w:asciiTheme="minorHAnsi" w:hAnsiTheme="minorHAnsi" w:cstheme="minorHAnsi"/>
                <w:b/>
                <w:sz w:val="22"/>
                <w:szCs w:val="22"/>
              </w:rPr>
              <w:t>IC00b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="00B66928">
              <w:rPr>
                <w:rFonts w:asciiTheme="minorHAnsi" w:hAnsiTheme="minorHAnsi" w:cstheme="minorHAnsi"/>
                <w:sz w:val="22"/>
                <w:szCs w:val="22"/>
              </w:rPr>
              <w:t xml:space="preserve"> per il quale si allarga anche la differenza con i risultati dei corsi comparativi.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6928">
              <w:rPr>
                <w:rFonts w:asciiTheme="minorHAnsi" w:hAnsiTheme="minorHAnsi" w:cstheme="minorHAnsi"/>
                <w:sz w:val="22"/>
                <w:szCs w:val="22"/>
              </w:rPr>
              <w:t xml:space="preserve">Viceversa il rendimento del corso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 mantiene tutto sommato stabile per</w:t>
            </w:r>
            <w:r w:rsidR="00B669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54DD">
              <w:rPr>
                <w:rFonts w:asciiTheme="minorHAnsi" w:hAnsiTheme="minorHAnsi" w:cstheme="minorHAnsi"/>
                <w:sz w:val="22"/>
                <w:szCs w:val="22"/>
              </w:rPr>
              <w:t xml:space="preserve">quanto </w:t>
            </w:r>
            <w:r w:rsidR="00B66928">
              <w:rPr>
                <w:rFonts w:asciiTheme="minorHAnsi" w:hAnsiTheme="minorHAnsi" w:cstheme="minorHAnsi"/>
                <w:sz w:val="22"/>
                <w:szCs w:val="22"/>
              </w:rPr>
              <w:t xml:space="preserve">riguarda il </w:t>
            </w:r>
            <w:r w:rsidR="005854DD" w:rsidRPr="00F6012B">
              <w:rPr>
                <w:rFonts w:asciiTheme="minorHAnsi" w:hAnsiTheme="minorHAnsi" w:cstheme="minorHAnsi"/>
                <w:sz w:val="22"/>
                <w:szCs w:val="22"/>
              </w:rPr>
              <w:t>numero d</w:t>
            </w:r>
            <w:r w:rsidR="00A03565">
              <w:rPr>
                <w:rFonts w:asciiTheme="minorHAnsi" w:hAnsiTheme="minorHAnsi" w:cstheme="minorHAnsi"/>
                <w:sz w:val="22"/>
                <w:szCs w:val="22"/>
              </w:rPr>
              <w:t>egli</w:t>
            </w:r>
            <w:r w:rsidR="005854DD"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avvii di carriera</w:t>
            </w:r>
            <w:r w:rsidR="005854D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854DD" w:rsidRPr="00A33650">
              <w:rPr>
                <w:rFonts w:asciiTheme="minorHAnsi" w:hAnsiTheme="minorHAnsi" w:cstheme="minorHAnsi"/>
                <w:b/>
                <w:sz w:val="22"/>
                <w:szCs w:val="22"/>
              </w:rPr>
              <w:t>iC00a</w:t>
            </w:r>
            <w:r w:rsidR="005854D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66928">
              <w:rPr>
                <w:rFonts w:asciiTheme="minorHAnsi" w:hAnsiTheme="minorHAnsi" w:cstheme="minorHAnsi"/>
                <w:sz w:val="22"/>
                <w:szCs w:val="22"/>
              </w:rPr>
              <w:t xml:space="preserve">, e addirittura migliora </w:t>
            </w:r>
            <w:r w:rsidR="00A03565">
              <w:rPr>
                <w:rFonts w:asciiTheme="minorHAnsi" w:hAnsiTheme="minorHAnsi" w:cstheme="minorHAnsi"/>
                <w:sz w:val="22"/>
                <w:szCs w:val="22"/>
              </w:rPr>
              <w:t xml:space="preserve">(in assoluto e in percentuale) il proprio </w:t>
            </w:r>
            <w:r w:rsidR="005854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indice di </w:t>
            </w:r>
            <w:r w:rsidR="005854DD" w:rsidRPr="00ED338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attrattività di iscritti provenienti da altre Regioni (</w:t>
            </w:r>
            <w:r w:rsidR="005854DD" w:rsidRPr="00ED338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iC03</w:t>
            </w:r>
            <w:r w:rsidR="005854DD" w:rsidRPr="00ED338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).</w:t>
            </w:r>
            <w:r w:rsidR="005854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035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Migliora altresì</w:t>
            </w:r>
            <w:r w:rsidR="00B6692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5854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035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segnando un rafforzamento rispetto ai </w:t>
            </w:r>
            <w:proofErr w:type="spellStart"/>
            <w:r w:rsidR="005854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CdS</w:t>
            </w:r>
            <w:proofErr w:type="spellEnd"/>
            <w:r w:rsidR="005854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di riferimento, il dato di iscrizione d</w:t>
            </w:r>
            <w:r w:rsidR="00A035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egl</w:t>
            </w:r>
            <w:r w:rsidR="005854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 studenti che hanno conseguito il titolo di studio all’estero</w:t>
            </w:r>
            <w:r w:rsidR="00A035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A03565" w:rsidRPr="00ED338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iC12</w:t>
            </w:r>
            <w:r w:rsidR="00A035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).</w:t>
            </w:r>
          </w:p>
          <w:p w14:paraId="1C653A0E" w14:textId="5BA99EAE" w:rsidR="00A03565" w:rsidRDefault="00A03565" w:rsidP="00A035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 dati di </w:t>
            </w:r>
            <w:r w:rsidRPr="00CB1C5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prosecuzione degli studi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mostrano </w:t>
            </w:r>
            <w:r w:rsidR="00BB76C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un rallentamento de</w:t>
            </w:r>
            <w:r w:rsidR="00BB76C0" w:rsidRPr="00F6012B">
              <w:rPr>
                <w:rFonts w:asciiTheme="minorHAnsi" w:hAnsiTheme="minorHAnsi" w:cstheme="minorHAnsi"/>
                <w:sz w:val="22"/>
                <w:szCs w:val="22"/>
              </w:rPr>
              <w:t>l numero degli studenti che proseguono nel II anno dello stesso corso di studio</w:t>
            </w:r>
            <w:r w:rsidR="00BB76C0" w:rsidRPr="00F601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B76C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BB76C0" w:rsidRPr="00F6012B">
              <w:rPr>
                <w:rFonts w:asciiTheme="minorHAnsi" w:hAnsiTheme="minorHAnsi" w:cstheme="minorHAnsi"/>
                <w:b/>
                <w:sz w:val="22"/>
                <w:szCs w:val="22"/>
              </w:rPr>
              <w:t>iC14</w:t>
            </w:r>
            <w:r w:rsidR="00BB76C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BB76C0">
              <w:rPr>
                <w:rFonts w:asciiTheme="minorHAnsi" w:hAnsiTheme="minorHAnsi" w:cstheme="minorHAnsi"/>
                <w:sz w:val="22"/>
                <w:szCs w:val="22"/>
              </w:rPr>
              <w:t>, facendo segnare</w:t>
            </w:r>
            <w:r w:rsidR="00BB76C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un peggioramento </w:t>
            </w:r>
            <w:r w:rsidR="008572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 uno scivolamento al di sotto del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>le medie di riferimento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BB76C0">
              <w:rPr>
                <w:rFonts w:asciiTheme="minorHAnsi" w:hAnsiTheme="minorHAnsi" w:cstheme="minorHAnsi"/>
                <w:sz w:val="22"/>
                <w:szCs w:val="22"/>
              </w:rPr>
              <w:t>tale dato sembra da mettere in relazione con il calo che pure si registra sul numero e sull</w:t>
            </w:r>
            <w:r w:rsidRPr="007C57F6">
              <w:rPr>
                <w:rFonts w:asciiTheme="minorHAnsi" w:hAnsiTheme="minorHAnsi" w:cstheme="minorHAnsi"/>
                <w:sz w:val="22"/>
                <w:szCs w:val="22"/>
              </w:rPr>
              <w:t xml:space="preserve">a percentuale di prosecuzione degli studi </w:t>
            </w:r>
            <w:r w:rsidR="0044242D">
              <w:rPr>
                <w:rFonts w:asciiTheme="minorHAnsi" w:hAnsiTheme="minorHAnsi" w:cstheme="minorHAnsi"/>
                <w:sz w:val="22"/>
                <w:szCs w:val="22"/>
              </w:rPr>
              <w:t xml:space="preserve">al secondo anno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nel sistema universitario </w:t>
            </w:r>
            <w:r w:rsidRPr="007C57F6">
              <w:rPr>
                <w:rFonts w:asciiTheme="minorHAnsi" w:hAnsiTheme="minorHAnsi" w:cstheme="minorHAnsi"/>
                <w:sz w:val="22"/>
                <w:szCs w:val="22"/>
              </w:rPr>
              <w:t>da parte degli iscritti</w:t>
            </w:r>
            <w:r w:rsidR="00BB76C0" w:rsidRPr="007C57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B76C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BB76C0" w:rsidRPr="007C57F6">
              <w:rPr>
                <w:rFonts w:asciiTheme="minorHAnsi" w:hAnsiTheme="minorHAnsi" w:cstheme="minorHAnsi"/>
                <w:b/>
                <w:sz w:val="22"/>
                <w:szCs w:val="22"/>
              </w:rPr>
              <w:t>iC21</w:t>
            </w:r>
            <w:r w:rsidR="00BB76C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85729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7297">
              <w:rPr>
                <w:rFonts w:asciiTheme="minorHAnsi" w:hAnsiTheme="minorHAnsi" w:cstheme="minorHAnsi"/>
                <w:sz w:val="22"/>
                <w:szCs w:val="22"/>
              </w:rPr>
              <w:t xml:space="preserve">Questo aspetto di rendimento </w:t>
            </w:r>
            <w:r w:rsidR="0044242D">
              <w:rPr>
                <w:rFonts w:asciiTheme="minorHAnsi" w:hAnsiTheme="minorHAnsi" w:cstheme="minorHAnsi"/>
                <w:sz w:val="22"/>
                <w:szCs w:val="22"/>
              </w:rPr>
              <w:t xml:space="preserve">sarà monitorato in seguito; peraltro, un peggioramento analogo avevano fatto registrare i dati dei corsi comparativi </w:t>
            </w:r>
            <w:r w:rsidR="00857297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="0044242D">
              <w:rPr>
                <w:rFonts w:asciiTheme="minorHAnsi" w:hAnsiTheme="minorHAnsi" w:cstheme="minorHAnsi"/>
                <w:sz w:val="22"/>
                <w:szCs w:val="22"/>
              </w:rPr>
              <w:t xml:space="preserve">lo scorso anno </w:t>
            </w:r>
            <w:r w:rsidR="00857297">
              <w:rPr>
                <w:rFonts w:asciiTheme="minorHAnsi" w:hAnsiTheme="minorHAnsi" w:cstheme="minorHAnsi"/>
                <w:sz w:val="22"/>
                <w:szCs w:val="22"/>
              </w:rPr>
              <w:t>per i quali l’andamento n</w:t>
            </w:r>
            <w:r w:rsidR="0044242D">
              <w:rPr>
                <w:rFonts w:asciiTheme="minorHAnsi" w:hAnsiTheme="minorHAnsi" w:cstheme="minorHAnsi"/>
                <w:sz w:val="22"/>
                <w:szCs w:val="22"/>
              </w:rPr>
              <w:t>on si è ripetuto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4242D">
              <w:rPr>
                <w:rFonts w:asciiTheme="minorHAnsi" w:hAnsiTheme="minorHAnsi" w:cstheme="minorHAnsi"/>
                <w:sz w:val="22"/>
                <w:szCs w:val="22"/>
              </w:rPr>
              <w:t xml:space="preserve">In linea con precedenti performance del </w:t>
            </w:r>
            <w:proofErr w:type="spellStart"/>
            <w:r w:rsidR="0044242D">
              <w:rPr>
                <w:rFonts w:asciiTheme="minorHAnsi" w:hAnsiTheme="minorHAnsi" w:cstheme="minorHAnsi"/>
                <w:sz w:val="22"/>
                <w:szCs w:val="22"/>
              </w:rPr>
              <w:t>CdS</w:t>
            </w:r>
            <w:proofErr w:type="spellEnd"/>
            <w:r w:rsidR="0044242D">
              <w:rPr>
                <w:rFonts w:asciiTheme="minorHAnsi" w:hAnsiTheme="minorHAnsi" w:cstheme="minorHAnsi"/>
                <w:sz w:val="22"/>
                <w:szCs w:val="22"/>
              </w:rPr>
              <w:t xml:space="preserve"> e con le medie comparative degli altri Atenei, è tornato, del resto,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dato </w:t>
            </w:r>
            <w:r w:rsidRPr="00CB1C58">
              <w:rPr>
                <w:rFonts w:asciiTheme="minorHAnsi" w:hAnsiTheme="minorHAnsi" w:cstheme="minorHAnsi"/>
                <w:sz w:val="22"/>
                <w:szCs w:val="22"/>
              </w:rPr>
              <w:t>fornito da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>ll’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iC23 </w:t>
            </w:r>
            <w:r w:rsidRPr="00CB1C58">
              <w:rPr>
                <w:rFonts w:asciiTheme="minorHAnsi" w:hAnsiTheme="minorHAnsi" w:cstheme="minorHAnsi"/>
                <w:sz w:val="22"/>
                <w:szCs w:val="22"/>
              </w:rPr>
              <w:t>sulla percentuale di passaggi ad altri corsi dell’Ateneo</w:t>
            </w:r>
            <w:r w:rsidR="0044242D">
              <w:rPr>
                <w:rFonts w:asciiTheme="minorHAnsi" w:hAnsiTheme="minorHAnsi" w:cstheme="minorHAnsi"/>
                <w:sz w:val="22"/>
                <w:szCs w:val="22"/>
              </w:rPr>
              <w:t xml:space="preserve">, per cui, da questo punto di vista, il </w:t>
            </w:r>
            <w:proofErr w:type="spellStart"/>
            <w:r w:rsidR="0044242D">
              <w:rPr>
                <w:rFonts w:asciiTheme="minorHAnsi" w:hAnsiTheme="minorHAnsi" w:cstheme="minorHAnsi"/>
                <w:sz w:val="22"/>
                <w:szCs w:val="22"/>
              </w:rPr>
              <w:t>CdS</w:t>
            </w:r>
            <w:proofErr w:type="spellEnd"/>
            <w:r w:rsidR="0044242D">
              <w:rPr>
                <w:rFonts w:asciiTheme="minorHAnsi" w:hAnsiTheme="minorHAnsi" w:cstheme="minorHAnsi"/>
                <w:sz w:val="22"/>
                <w:szCs w:val="22"/>
              </w:rPr>
              <w:t xml:space="preserve"> “contiene le perdite” rispetto al trend di dispersione dal sistema universitario, fatto registrare quest’anno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52ECB">
              <w:rPr>
                <w:rFonts w:asciiTheme="minorHAnsi" w:hAnsiTheme="minorHAnsi" w:cstheme="minorHAnsi"/>
                <w:sz w:val="22"/>
                <w:szCs w:val="22"/>
              </w:rPr>
              <w:t xml:space="preserve">Ed è altresì migliorato quest’anno, il dato della percentuale </w:t>
            </w:r>
            <w:r w:rsidRPr="00CB1C58">
              <w:rPr>
                <w:rFonts w:asciiTheme="minorHAnsi" w:hAnsiTheme="minorHAnsi" w:cstheme="minorHAnsi"/>
                <w:sz w:val="22"/>
                <w:szCs w:val="22"/>
              </w:rPr>
              <w:t xml:space="preserve">di abbandoni </w:t>
            </w:r>
            <w:r w:rsidR="00D52ECB">
              <w:rPr>
                <w:rFonts w:asciiTheme="minorHAnsi" w:hAnsiTheme="minorHAnsi" w:cstheme="minorHAnsi"/>
                <w:sz w:val="22"/>
                <w:szCs w:val="22"/>
              </w:rPr>
              <w:t>di iscritti dopo più di un anno (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>iC24</w:t>
            </w:r>
            <w:r w:rsidR="00D52ECB" w:rsidRPr="00D52ECB">
              <w:rPr>
                <w:rFonts w:asciiTheme="minorHAnsi" w:hAnsiTheme="minorHAnsi" w:cstheme="minorHAnsi"/>
                <w:sz w:val="22"/>
                <w:szCs w:val="22"/>
              </w:rPr>
              <w:t>), il quale</w:t>
            </w:r>
            <w:r w:rsidR="00D52ECB">
              <w:rPr>
                <w:rFonts w:asciiTheme="minorHAnsi" w:hAnsiTheme="minorHAnsi" w:cstheme="minorHAnsi"/>
                <w:sz w:val="22"/>
                <w:szCs w:val="22"/>
              </w:rPr>
              <w:t xml:space="preserve"> è venuto riducendosi, ponendosi in linea con le medie comparative.</w:t>
            </w:r>
          </w:p>
          <w:p w14:paraId="15530289" w14:textId="264DA088" w:rsidR="00D52ECB" w:rsidRDefault="00D52ECB" w:rsidP="00D52ECB">
            <w:pPr>
              <w:pStyle w:val="Default"/>
              <w:mirrorIndent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Fra gli indicatori sulla 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>regolarità negli studi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sulla 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>produttività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degli </w:t>
            </w:r>
            <w:r w:rsidR="00857297">
              <w:rPr>
                <w:rFonts w:asciiTheme="minorHAnsi" w:hAnsiTheme="minorHAnsi" w:cstheme="minorHAnsi"/>
                <w:sz w:val="22"/>
                <w:szCs w:val="22"/>
              </w:rPr>
              <w:t>studenti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il dato degli iscritti complessivi (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>00d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deno</w:t>
            </w:r>
            <w:r w:rsidR="00857297">
              <w:rPr>
                <w:rFonts w:asciiTheme="minorHAnsi" w:hAnsiTheme="minorHAnsi" w:cstheme="minorHAnsi"/>
                <w:sz w:val="22"/>
                <w:szCs w:val="22"/>
              </w:rPr>
              <w:t xml:space="preserve">ta un lieve calo, </w:t>
            </w:r>
            <w:r w:rsidR="00654F74">
              <w:rPr>
                <w:rFonts w:asciiTheme="minorHAnsi" w:hAnsiTheme="minorHAnsi" w:cstheme="minorHAnsi"/>
                <w:sz w:val="22"/>
                <w:szCs w:val="22"/>
              </w:rPr>
              <w:t xml:space="preserve">anche se rimane </w:t>
            </w:r>
            <w:r w:rsidR="00857297">
              <w:rPr>
                <w:rFonts w:asciiTheme="minorHAnsi" w:hAnsiTheme="minorHAnsi" w:cstheme="minorHAnsi"/>
                <w:sz w:val="22"/>
                <w:szCs w:val="22"/>
              </w:rPr>
              <w:t xml:space="preserve">comunque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superiore alle medie dei corsi comparativi. Mantengono un trend in calo, ponendosi al di sotto delle medie nazionali, i dati degli iscritti regolari ai fini del costo standard (</w:t>
            </w:r>
            <w:r w:rsidRPr="00CB1C58">
              <w:rPr>
                <w:rFonts w:asciiTheme="minorHAnsi" w:hAnsiTheme="minorHAnsi" w:cstheme="minorHAnsi"/>
                <w:b/>
                <w:sz w:val="22"/>
                <w:szCs w:val="22"/>
              </w:rPr>
              <w:t>IC00e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e (</w:t>
            </w:r>
            <w:r w:rsidRPr="00846044">
              <w:rPr>
                <w:rFonts w:asciiTheme="minorHAnsi" w:hAnsiTheme="minorHAnsi" w:cstheme="minorHAnsi"/>
                <w:b/>
                <w:sz w:val="22"/>
                <w:szCs w:val="22"/>
              </w:rPr>
              <w:t>Ic00f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); ma quelli concernenti gli iscritti </w:t>
            </w:r>
            <w:r w:rsidR="00654F74">
              <w:rPr>
                <w:rFonts w:asciiTheme="minorHAnsi" w:hAnsiTheme="minorHAnsi" w:cstheme="minorHAnsi"/>
                <w:sz w:val="22"/>
                <w:szCs w:val="22"/>
              </w:rPr>
              <w:t xml:space="preserve">regolari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CdS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4F74">
              <w:rPr>
                <w:rFonts w:asciiTheme="minorHAnsi" w:hAnsiTheme="minorHAnsi" w:cstheme="minorHAnsi"/>
                <w:sz w:val="22"/>
                <w:szCs w:val="22"/>
              </w:rPr>
              <w:t xml:space="preserve">immatricolati puri,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 attestano </w:t>
            </w:r>
            <w:r w:rsidR="00857297">
              <w:rPr>
                <w:rFonts w:asciiTheme="minorHAnsi" w:hAnsiTheme="minorHAnsi" w:cstheme="minorHAnsi"/>
                <w:sz w:val="22"/>
                <w:szCs w:val="22"/>
              </w:rPr>
              <w:t xml:space="preserve">almeno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 di un valore superiore alle medie dei corsi della medesima area geografica. </w:t>
            </w:r>
            <w:r w:rsidR="0085729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nche la percentuale di studenti iscritti e che abbiano acquisito almeno 40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entro la durata normale del corso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iC0</w:t>
            </w:r>
            <w:r w:rsidRPr="0084604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), pur facendo segnare un certo miglioramento percentuale, rispetto alle scorse rilevazioni, risulta ancora deficitaria rispetto alle medie comparative, le quali sono pure cresciute: 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 xml:space="preserve">pesa </w:t>
            </w:r>
            <w:r w:rsidR="00857297">
              <w:rPr>
                <w:rFonts w:asciiTheme="minorHAnsi" w:hAnsiTheme="minorHAnsi" w:cstheme="minorHAnsi"/>
                <w:sz w:val="22"/>
                <w:szCs w:val="22"/>
              </w:rPr>
              <w:t xml:space="preserve">probabilmente 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>la circostanza che una significativa porzione di studenti frequenta i corsi mentre svolge attività lavorative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>Stabile e ancora inferiore alle medie comparative è il dato dell’</w:t>
            </w:r>
            <w:r w:rsidRPr="00F6012B">
              <w:rPr>
                <w:rFonts w:asciiTheme="minorHAnsi" w:hAnsiTheme="minorHAnsi" w:cstheme="minorHAnsi"/>
                <w:b/>
                <w:sz w:val="22"/>
                <w:szCs w:val="22"/>
              </w:rPr>
              <w:t>iC13,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concernente la percen</w:t>
            </w:r>
            <w:r w:rsidR="00857297">
              <w:rPr>
                <w:rFonts w:asciiTheme="minorHAnsi" w:hAnsiTheme="minorHAnsi" w:cstheme="minorHAnsi"/>
                <w:sz w:val="22"/>
                <w:szCs w:val="22"/>
              </w:rPr>
              <w:t xml:space="preserve">tuale di </w:t>
            </w:r>
            <w:proofErr w:type="spellStart"/>
            <w:r w:rsidR="00857297">
              <w:rPr>
                <w:rFonts w:asciiTheme="minorHAnsi" w:hAnsiTheme="minorHAnsi" w:cstheme="minorHAnsi"/>
                <w:sz w:val="22"/>
                <w:szCs w:val="22"/>
              </w:rPr>
              <w:t>c.f.u</w:t>
            </w:r>
            <w:proofErr w:type="spellEnd"/>
            <w:r w:rsidR="00857297">
              <w:rPr>
                <w:rFonts w:asciiTheme="minorHAnsi" w:hAnsiTheme="minorHAnsi" w:cstheme="minorHAnsi"/>
                <w:sz w:val="22"/>
                <w:szCs w:val="22"/>
              </w:rPr>
              <w:t>. conseguiti nel primo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anno su quelli da conseguire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 xml:space="preserve">segno anch’esso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una certa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lentezza degli studenti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nel proseguire la carriera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>; valga però osservare un miglioramento comparativo della rilevazione, atteso il sensibile peggioramento fatto registrare sul punto dai corsi analoghi, sia a livello di area geografica che nazionale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>Sostanzialmente stabili, ma ancora inferi</w:t>
            </w:r>
            <w:r w:rsidR="00857297">
              <w:rPr>
                <w:rFonts w:asciiTheme="minorHAnsi" w:hAnsiTheme="minorHAnsi" w:cstheme="minorHAnsi"/>
                <w:sz w:val="22"/>
                <w:szCs w:val="22"/>
              </w:rPr>
              <w:t>ori alle medie degli altri corsi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 xml:space="preserve"> di studio, 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 xml:space="preserve">sono 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 xml:space="preserve">sia 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il dato 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>dell’</w:t>
            </w:r>
            <w:r w:rsidRPr="00F6012B">
              <w:rPr>
                <w:rFonts w:asciiTheme="minorHAnsi" w:hAnsiTheme="minorHAnsi" w:cstheme="minorHAnsi"/>
                <w:b/>
                <w:sz w:val="22"/>
                <w:szCs w:val="22"/>
              </w:rPr>
              <w:t>iC16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concernente la 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>classe di studenti “più efficienti”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che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proseguono gli studi, avendo conseguito almeno 40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c.f.u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sia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 xml:space="preserve"> quello dell’</w:t>
            </w:r>
            <w:r w:rsidRPr="00F6012B">
              <w:rPr>
                <w:rFonts w:asciiTheme="minorHAnsi" w:hAnsiTheme="minorHAnsi" w:cstheme="minorHAnsi"/>
                <w:b/>
                <w:sz w:val="22"/>
                <w:szCs w:val="22"/>
              </w:rPr>
              <w:t>iC15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riguardante gli studenti che proseguano al secondo anno con almeno 20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proofErr w:type="spellEnd"/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64F3A">
              <w:rPr>
                <w:rFonts w:asciiTheme="minorHAnsi" w:hAnsiTheme="minorHAnsi" w:cstheme="minorHAnsi"/>
                <w:sz w:val="22"/>
                <w:szCs w:val="22"/>
              </w:rPr>
              <w:t xml:space="preserve"> acquisiti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>o scarto segnato da quest’ultimo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, rispetto alle medie comparative,</w:t>
            </w:r>
            <w:r w:rsidR="009B7706">
              <w:rPr>
                <w:rFonts w:asciiTheme="minorHAnsi" w:hAnsiTheme="minorHAnsi" w:cstheme="minorHAnsi"/>
                <w:sz w:val="22"/>
                <w:szCs w:val="22"/>
              </w:rPr>
              <w:t xml:space="preserve"> è 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>comprensibilmente meno marcato e quasi in linea con quello degli altri corsi.</w:t>
            </w:r>
            <w:r w:rsidR="00E0358A">
              <w:rPr>
                <w:rFonts w:asciiTheme="minorHAnsi" w:hAnsiTheme="minorHAnsi" w:cstheme="minorHAnsi"/>
                <w:sz w:val="22"/>
                <w:szCs w:val="22"/>
              </w:rPr>
              <w:t xml:space="preserve"> Molti dei dati pertinenti a tali indici si fermano al 2018.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Il Consiglio di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CdS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è comunque consapevole della necessità di seguire attentamente l’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>esigenza di sveltire il percorso di studio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degli iscritti. Non potendosi escludere che una concausa della lentezza di progressione 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>risieda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nella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impegnatività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degli insegnamenti, sono 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 xml:space="preserve">da tempo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vagliate le richieste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degli studenti di alleggerire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 carico didattico e la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 xml:space="preserve">praticabilità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prove intermedie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 xml:space="preserve">nei corsi fondamentali, 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>le quali consentano una modulazione dell’impegno di studio senza pregiudicare la qualità dell’apporto didattico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molti docenti hanno 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 xml:space="preserve">poi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intrapreso metodi di insegnamento 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 xml:space="preserve">pratico,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ritenuti capaci di stimolare una più immediata capacità di apprendimento di coloro che frequentano le lezioni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>, riducendo l’impegno di studio</w:t>
            </w:r>
            <w:r w:rsidR="000541EB">
              <w:rPr>
                <w:rFonts w:asciiTheme="minorHAnsi" w:hAnsiTheme="minorHAnsi" w:cstheme="minorHAnsi"/>
                <w:sz w:val="22"/>
                <w:szCs w:val="22"/>
              </w:rPr>
              <w:t xml:space="preserve"> a casa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 xml:space="preserve"> chiaro, tuttavia, che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 xml:space="preserve">questi accorgimenti </w:t>
            </w:r>
            <w:r w:rsidR="009E1B79">
              <w:rPr>
                <w:rFonts w:asciiTheme="minorHAnsi" w:hAnsiTheme="minorHAnsi" w:cstheme="minorHAnsi"/>
                <w:sz w:val="22"/>
                <w:szCs w:val="22"/>
              </w:rPr>
              <w:t>promettono di essere efficaci nei confronti degli studenti che siano in grado di frequentare i corsi di insegnamento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 xml:space="preserve"> In controtendenza sono peraltro i dati dei </w:t>
            </w:r>
            <w:proofErr w:type="spellStart"/>
            <w:r w:rsidR="00F4501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proofErr w:type="spellEnd"/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conseguiti all’estero dagli studenti regolari sul totale dei </w:t>
            </w:r>
            <w:proofErr w:type="spellStart"/>
            <w:r w:rsidR="00F4501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proofErr w:type="spellEnd"/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 xml:space="preserve"> conseguiti entro la normale durata del corso </w:t>
            </w:r>
            <w:r w:rsidR="00F45010" w:rsidRPr="00F45010">
              <w:rPr>
                <w:rFonts w:asciiTheme="minorHAnsi" w:hAnsiTheme="minorHAnsi" w:cstheme="minorHAnsi"/>
                <w:b/>
                <w:sz w:val="22"/>
                <w:szCs w:val="22"/>
              </w:rPr>
              <w:t>(iC10)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 xml:space="preserve">: non solo il dato segna per la prima volta un valore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censibile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 xml:space="preserve">, ma esso si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 xml:space="preserve">inserisce 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 xml:space="preserve">nel quadro dei valori percentuali medi comparativi. Esso </w:t>
            </w:r>
            <w:r w:rsidR="00EF0D8B">
              <w:rPr>
                <w:rFonts w:asciiTheme="minorHAnsi" w:hAnsiTheme="minorHAnsi" w:cstheme="minorHAnsi"/>
                <w:sz w:val="22"/>
                <w:szCs w:val="22"/>
              </w:rPr>
              <w:t xml:space="preserve">può spiegarsi con le 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 xml:space="preserve">modifiche di regolamento effettuate negli anni passati e che hanno permesso un più facile accesso degli studenti ai piani </w:t>
            </w:r>
            <w:proofErr w:type="spellStart"/>
            <w:r w:rsidR="00F45010">
              <w:rPr>
                <w:rFonts w:asciiTheme="minorHAnsi" w:hAnsiTheme="minorHAnsi" w:cstheme="minorHAnsi"/>
                <w:sz w:val="22"/>
                <w:szCs w:val="22"/>
              </w:rPr>
              <w:t>erasmus</w:t>
            </w:r>
            <w:proofErr w:type="spellEnd"/>
            <w:r w:rsidR="00F45010">
              <w:rPr>
                <w:rFonts w:asciiTheme="minorHAnsi" w:hAnsiTheme="minorHAnsi" w:cstheme="minorHAnsi"/>
                <w:sz w:val="22"/>
                <w:szCs w:val="22"/>
              </w:rPr>
              <w:t xml:space="preserve"> e alle altre possibilità di mobilità di studio; la sua 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>concreta dimensione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, comunque,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 xml:space="preserve">deve tener 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 xml:space="preserve">conto della tendenza di una percentuale significativa degli studenti iscritti a conciliare studio e lavoro, ciò che rende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 xml:space="preserve">obiettivamente 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>diffic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ile praticare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 xml:space="preserve"> esperienze di studio all’estero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F0D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F0D8B">
              <w:rPr>
                <w:rFonts w:asciiTheme="minorHAnsi" w:hAnsiTheme="minorHAnsi" w:cstheme="minorHAnsi"/>
                <w:sz w:val="22"/>
                <w:szCs w:val="22"/>
              </w:rPr>
              <w:t xml:space="preserve">all’iC11 emerge, in effetti, come solo uno studente abbia acquisito all’estero il numero di </w:t>
            </w:r>
            <w:proofErr w:type="spellStart"/>
            <w:r w:rsidR="00EF0D8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F0D8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F0D8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proofErr w:type="spellEnd"/>
            <w:r w:rsidR="00121C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F0D8B">
              <w:rPr>
                <w:rFonts w:asciiTheme="minorHAnsi" w:hAnsiTheme="minorHAnsi" w:cstheme="minorHAnsi"/>
                <w:sz w:val="22"/>
                <w:szCs w:val="22"/>
              </w:rPr>
              <w:t xml:space="preserve"> fatti registrare nell’ambito del </w:t>
            </w:r>
            <w:proofErr w:type="spellStart"/>
            <w:r w:rsidR="00EF0D8B">
              <w:rPr>
                <w:rFonts w:asciiTheme="minorHAnsi" w:hAnsiTheme="minorHAnsi" w:cstheme="minorHAnsi"/>
                <w:sz w:val="22"/>
                <w:szCs w:val="22"/>
              </w:rPr>
              <w:t>CdS</w:t>
            </w:r>
            <w:proofErr w:type="spellEnd"/>
            <w:r w:rsidR="00F62FE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 xml:space="preserve">Trattandosi di un riscontro 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>apprezza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 xml:space="preserve"> come 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>positivo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 xml:space="preserve"> per la prima volta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 xml:space="preserve">è necessario 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>attendere conferme per gli anni a venire,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 xml:space="preserve"> prima di rilevare tendenze generali.</w:t>
            </w:r>
          </w:p>
          <w:p w14:paraId="654A7121" w14:textId="1FE48CA4" w:rsidR="000541EB" w:rsidRDefault="000541EB" w:rsidP="000541EB">
            <w:pPr>
              <w:pStyle w:val="Default"/>
              <w:mirrorIndent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 xml:space="preserve"> più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decisa controtendenza sono gli indicatori sui </w:t>
            </w:r>
            <w:r w:rsidRPr="002C42E1">
              <w:rPr>
                <w:rFonts w:asciiTheme="minorHAnsi" w:hAnsiTheme="minorHAnsi" w:cstheme="minorHAnsi"/>
                <w:b/>
                <w:sz w:val="22"/>
                <w:szCs w:val="22"/>
              </w:rPr>
              <w:t>laureati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0541EB">
              <w:rPr>
                <w:rFonts w:asciiTheme="minorHAnsi" w:hAnsiTheme="minorHAnsi" w:cstheme="minorHAnsi"/>
                <w:sz w:val="22"/>
                <w:szCs w:val="22"/>
              </w:rPr>
              <w:t>i quali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fanno registrare quest’anno un eccezionale incremento in assoluto e in percentuale, rispetto alle ultime rilevazioni, riducendo sensibilmente la differenza d</w:t>
            </w:r>
            <w:r w:rsidRPr="00F6012B">
              <w:rPr>
                <w:rFonts w:asciiTheme="minorHAnsi" w:hAnsiTheme="minorHAnsi" w:cstheme="minorHAnsi"/>
                <w:sz w:val="22"/>
                <w:szCs w:val="22"/>
              </w:rPr>
              <w:t>i risultati, rispetto alle medie dell’area geografica e a quelle nazionali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così per l’</w:t>
            </w:r>
            <w:r w:rsidRPr="002C42E1">
              <w:rPr>
                <w:rFonts w:asciiTheme="minorHAnsi" w:hAnsiTheme="minorHAnsi" w:cstheme="minorHAnsi"/>
                <w:b/>
                <w:sz w:val="22"/>
                <w:szCs w:val="22"/>
              </w:rPr>
              <w:t>iC02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relativo alla percentuale di coloro che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 xml:space="preserve">(fra tutti i laureati)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 laureano entro la durata normale del corso (che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raddoppia il proprio valore);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 xml:space="preserve">risultato al quale 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>si ricollegano l’incremento in pari misura dell’</w:t>
            </w:r>
            <w:r w:rsidR="00F62FE9" w:rsidRPr="00F62FE9">
              <w:rPr>
                <w:rFonts w:asciiTheme="minorHAnsi" w:hAnsiTheme="minorHAnsi" w:cstheme="minorHAnsi"/>
                <w:b/>
                <w:sz w:val="22"/>
                <w:szCs w:val="22"/>
              </w:rPr>
              <w:t>iC00g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 xml:space="preserve"> e dell’</w:t>
            </w:r>
            <w:r w:rsidR="00F62FE9" w:rsidRPr="00F62FE9">
              <w:rPr>
                <w:rFonts w:asciiTheme="minorHAnsi" w:hAnsiTheme="minorHAnsi" w:cstheme="minorHAnsi"/>
                <w:b/>
                <w:sz w:val="22"/>
                <w:szCs w:val="22"/>
              </w:rPr>
              <w:t>iC00h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 xml:space="preserve"> (quest’ultimo 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>concernente il numero dei laureati, il quale si attesta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 xml:space="preserve"> a un livello ben superiore alle medie comparative)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>.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ncor più </w:t>
            </w:r>
            <w:r w:rsidR="00F62FE9">
              <w:rPr>
                <w:rFonts w:asciiTheme="minorHAnsi" w:hAnsiTheme="minorHAnsi" w:cstheme="minorHAnsi"/>
                <w:sz w:val="22"/>
                <w:szCs w:val="22"/>
              </w:rPr>
              <w:t xml:space="preserve">significativo è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dato </w:t>
            </w:r>
            <w:r w:rsidR="00121CED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 w:rsidRPr="0018296C">
              <w:rPr>
                <w:rFonts w:asciiTheme="minorHAnsi" w:hAnsiTheme="minorHAnsi" w:cstheme="minorHAnsi"/>
                <w:b/>
                <w:sz w:val="22"/>
                <w:szCs w:val="22"/>
              </w:rPr>
              <w:t>iC22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concernente la percentuale di immatricolati nel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CdS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che si laureano entro la durata normale</w:t>
            </w:r>
            <w:r w:rsidR="00F45010">
              <w:rPr>
                <w:rFonts w:asciiTheme="minorHAnsi" w:hAnsiTheme="minorHAnsi" w:cstheme="minorHAnsi"/>
                <w:sz w:val="22"/>
                <w:szCs w:val="22"/>
              </w:rPr>
              <w:t xml:space="preserve"> del corso, che triplica il proprio valore e si approssima come molto vicino alle medie comparative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D1C59">
              <w:rPr>
                <w:rFonts w:asciiTheme="minorHAnsi" w:hAnsiTheme="minorHAnsi" w:cstheme="minorHAnsi"/>
                <w:sz w:val="22"/>
                <w:szCs w:val="22"/>
              </w:rPr>
              <w:t xml:space="preserve">Un deciso incremento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D1C59">
              <w:rPr>
                <w:rFonts w:asciiTheme="minorHAnsi" w:hAnsiTheme="minorHAnsi" w:cstheme="minorHAnsi"/>
                <w:sz w:val="22"/>
                <w:szCs w:val="22"/>
              </w:rPr>
              <w:t xml:space="preserve">in assoluto, in percentuale 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rispetto alle medie comparative), </w:t>
            </w:r>
            <w:r w:rsidR="000D1C59">
              <w:rPr>
                <w:rFonts w:asciiTheme="minorHAnsi" w:hAnsiTheme="minorHAnsi" w:cstheme="minorHAnsi"/>
                <w:sz w:val="22"/>
                <w:szCs w:val="22"/>
              </w:rPr>
              <w:t>fa registrare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il dato </w:t>
            </w:r>
            <w:r w:rsidR="000D1C59">
              <w:rPr>
                <w:rFonts w:asciiTheme="minorHAnsi" w:hAnsiTheme="minorHAnsi" w:cstheme="minorHAnsi"/>
                <w:sz w:val="22"/>
                <w:szCs w:val="22"/>
              </w:rPr>
              <w:t>dell’</w:t>
            </w:r>
            <w:r w:rsidRPr="0018296C">
              <w:rPr>
                <w:rFonts w:asciiTheme="minorHAnsi" w:hAnsiTheme="minorHAnsi" w:cstheme="minorHAnsi"/>
                <w:b/>
                <w:sz w:val="22"/>
                <w:szCs w:val="22"/>
              </w:rPr>
              <w:t>iC17</w:t>
            </w:r>
            <w:r w:rsidR="000D1C5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concernente il numero degli iscritti che si laureano </w:t>
            </w:r>
            <w:r w:rsidR="00BA56EA">
              <w:rPr>
                <w:rFonts w:asciiTheme="minorHAnsi" w:hAnsiTheme="minorHAnsi" w:cstheme="minorHAnsi"/>
                <w:sz w:val="22"/>
                <w:szCs w:val="22"/>
              </w:rPr>
              <w:t>entro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 anno oltre la durata normale del corso</w:t>
            </w:r>
            <w:r w:rsidR="000D1C59">
              <w:rPr>
                <w:rFonts w:asciiTheme="minorHAnsi" w:hAnsiTheme="minorHAnsi" w:cstheme="minorHAnsi"/>
                <w:sz w:val="22"/>
                <w:szCs w:val="22"/>
              </w:rPr>
              <w:t xml:space="preserve"> e che si avvicina molto alle medie comparative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Anche tali risultati </w:t>
            </w:r>
            <w:r w:rsidR="000D1C59">
              <w:rPr>
                <w:rFonts w:asciiTheme="minorHAnsi" w:hAnsiTheme="minorHAnsi" w:cstheme="minorHAnsi"/>
                <w:sz w:val="22"/>
                <w:szCs w:val="22"/>
              </w:rPr>
              <w:t>andranno valutati alla luce delle successive rilevazioni; essi fanno comunque ben sperare quanto agli accorgimenti apprestati per portare gli studenti ad una più rapida conclusione degli studi</w:t>
            </w:r>
            <w:r w:rsidR="00B96E14">
              <w:rPr>
                <w:rFonts w:asciiTheme="minorHAnsi" w:hAnsiTheme="minorHAnsi" w:cstheme="minorHAnsi"/>
                <w:sz w:val="22"/>
                <w:szCs w:val="22"/>
              </w:rPr>
              <w:t xml:space="preserve">: fra tali accorgimenti merita di essere ricordata </w:t>
            </w:r>
            <w:r w:rsidR="000D1C59">
              <w:rPr>
                <w:rFonts w:asciiTheme="minorHAnsi" w:hAnsiTheme="minorHAnsi" w:cstheme="minorHAnsi"/>
                <w:sz w:val="22"/>
                <w:szCs w:val="22"/>
              </w:rPr>
              <w:t xml:space="preserve">la modifica </w:t>
            </w:r>
            <w:r w:rsidR="00B96E14">
              <w:rPr>
                <w:rFonts w:asciiTheme="minorHAnsi" w:hAnsiTheme="minorHAnsi" w:cstheme="minorHAnsi"/>
                <w:sz w:val="22"/>
                <w:szCs w:val="22"/>
              </w:rPr>
              <w:t xml:space="preserve">dell’esame di laurea </w:t>
            </w:r>
            <w:r w:rsidR="00BA56EA">
              <w:rPr>
                <w:rFonts w:asciiTheme="minorHAnsi" w:hAnsiTheme="minorHAnsi" w:cstheme="minorHAnsi"/>
                <w:sz w:val="22"/>
                <w:szCs w:val="22"/>
              </w:rPr>
              <w:t xml:space="preserve">entrata a regime </w:t>
            </w:r>
            <w:r w:rsidR="000D1C59">
              <w:rPr>
                <w:rFonts w:asciiTheme="minorHAnsi" w:hAnsiTheme="minorHAnsi" w:cstheme="minorHAnsi"/>
                <w:sz w:val="22"/>
                <w:szCs w:val="22"/>
              </w:rPr>
              <w:t>nel 2018</w:t>
            </w:r>
            <w:r w:rsidR="00B96E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C72B482" w14:textId="6F4EC35C" w:rsidR="00B96E14" w:rsidRDefault="00B96E14" w:rsidP="00B96E1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Venendo ai dati sulla </w:t>
            </w:r>
            <w:r w:rsidRPr="0018296C">
              <w:rPr>
                <w:rFonts w:asciiTheme="minorHAnsi" w:hAnsiTheme="minorHAnsi" w:cstheme="minorHAnsi"/>
                <w:b/>
                <w:sz w:val="22"/>
                <w:szCs w:val="22"/>
              </w:rPr>
              <w:t>soddisfazione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sulla </w:t>
            </w:r>
            <w:proofErr w:type="spellStart"/>
            <w:r w:rsidRPr="0018296C">
              <w:rPr>
                <w:rFonts w:asciiTheme="minorHAnsi" w:hAnsiTheme="minorHAnsi" w:cstheme="minorHAnsi"/>
                <w:b/>
                <w:sz w:val="22"/>
                <w:szCs w:val="22"/>
              </w:rPr>
              <w:t>occupabilità</w:t>
            </w:r>
            <w:proofErr w:type="spellEnd"/>
            <w:r w:rsidRPr="001829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dei laureati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l’indice di occupazione degli studenti a un anno dal conseguimento del titolo (</w:t>
            </w:r>
            <w:r w:rsidRPr="00D66FEA">
              <w:rPr>
                <w:rFonts w:asciiTheme="minorHAnsi" w:hAnsiTheme="minorHAnsi" w:cstheme="minorHAnsi"/>
                <w:b/>
                <w:sz w:val="22"/>
                <w:szCs w:val="22"/>
              </w:rPr>
              <w:t>iC06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F06E1">
              <w:rPr>
                <w:rFonts w:asciiTheme="minorHAnsi" w:hAnsiTheme="minorHAnsi" w:cstheme="minorHAnsi"/>
                <w:sz w:val="22"/>
                <w:szCs w:val="22"/>
              </w:rPr>
              <w:t xml:space="preserve">fa segnare un miglioramento, ponendosi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linea con le medie comparative di riferimento; nonostante l’incremento, </w:t>
            </w:r>
            <w:r w:rsidR="009F06E1">
              <w:rPr>
                <w:rFonts w:asciiTheme="minorHAnsi" w:hAnsiTheme="minorHAnsi" w:cstheme="minorHAnsi"/>
                <w:sz w:val="22"/>
                <w:szCs w:val="22"/>
              </w:rPr>
              <w:t xml:space="preserve">accusa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ancora qualche differenza </w:t>
            </w:r>
            <w:r w:rsidR="009F06E1">
              <w:rPr>
                <w:rFonts w:asciiTheme="minorHAnsi" w:hAnsiTheme="minorHAnsi" w:cstheme="minorHAnsi"/>
                <w:sz w:val="22"/>
                <w:szCs w:val="22"/>
              </w:rPr>
              <w:t xml:space="preserve">il medesimo valore,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quando si tratta dei laureati a un anno impiegati con contratto regolamentato (</w:t>
            </w:r>
            <w:r w:rsidRPr="00D66FEA">
              <w:rPr>
                <w:rFonts w:asciiTheme="minorHAnsi" w:hAnsiTheme="minorHAnsi" w:cstheme="minorHAnsi"/>
                <w:b/>
                <w:sz w:val="22"/>
                <w:szCs w:val="22"/>
              </w:rPr>
              <w:t>iC06BIS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  <w:r w:rsidR="009F06E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soddisfazione espressa dai laureati per il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CdS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7B0E1A">
              <w:rPr>
                <w:rFonts w:asciiTheme="minorHAnsi" w:hAnsiTheme="minorHAnsi" w:cstheme="minorHAnsi"/>
                <w:b/>
                <w:sz w:val="22"/>
                <w:szCs w:val="22"/>
              </w:rPr>
              <w:t>iC25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F06E1">
              <w:rPr>
                <w:rFonts w:asciiTheme="minorHAnsi" w:hAnsiTheme="minorHAnsi" w:cstheme="minorHAnsi"/>
                <w:sz w:val="22"/>
                <w:szCs w:val="22"/>
              </w:rPr>
              <w:t xml:space="preserve">migliora notevolmente </w:t>
            </w:r>
            <w:r w:rsidR="00EF0D8B">
              <w:rPr>
                <w:rFonts w:asciiTheme="minorHAnsi" w:hAnsiTheme="minorHAnsi" w:cstheme="minorHAnsi"/>
                <w:sz w:val="22"/>
                <w:szCs w:val="22"/>
              </w:rPr>
              <w:t>il riscontro già elevato fatto segnare nelle scorse rilevazioni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F0D8B">
              <w:rPr>
                <w:rFonts w:asciiTheme="minorHAnsi" w:hAnsiTheme="minorHAnsi" w:cstheme="minorHAnsi"/>
                <w:sz w:val="22"/>
                <w:szCs w:val="22"/>
              </w:rPr>
              <w:t xml:space="preserve">assestandosi a un livello superiore alle medie comparative; lo stesso emerge dal dato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percentuale di coloro che si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reiscriverebbero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0D8B">
              <w:rPr>
                <w:rFonts w:asciiTheme="minorHAnsi" w:hAnsiTheme="minorHAnsi" w:cstheme="minorHAnsi"/>
                <w:sz w:val="22"/>
                <w:szCs w:val="22"/>
              </w:rPr>
              <w:t xml:space="preserve">ancora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CdS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7B0E1A">
              <w:rPr>
                <w:rFonts w:asciiTheme="minorHAnsi" w:hAnsiTheme="minorHAnsi" w:cstheme="minorHAnsi"/>
                <w:b/>
                <w:sz w:val="22"/>
                <w:szCs w:val="22"/>
              </w:rPr>
              <w:t>iC18</w:t>
            </w:r>
            <w:r w:rsidR="00EF0D8B">
              <w:rPr>
                <w:rFonts w:asciiTheme="minorHAnsi" w:hAnsiTheme="minorHAnsi" w:cstheme="minorHAnsi"/>
                <w:sz w:val="22"/>
                <w:szCs w:val="22"/>
              </w:rPr>
              <w:t xml:space="preserve">): questi indici segnano un livello di gradimento che riporta il </w:t>
            </w:r>
            <w:proofErr w:type="spellStart"/>
            <w:r w:rsidR="00EF0D8B">
              <w:rPr>
                <w:rFonts w:asciiTheme="minorHAnsi" w:hAnsiTheme="minorHAnsi" w:cstheme="minorHAnsi"/>
                <w:sz w:val="22"/>
                <w:szCs w:val="22"/>
              </w:rPr>
              <w:t>CdS</w:t>
            </w:r>
            <w:proofErr w:type="spellEnd"/>
            <w:r w:rsidR="00EF0D8B">
              <w:rPr>
                <w:rFonts w:asciiTheme="minorHAnsi" w:hAnsiTheme="minorHAnsi" w:cstheme="minorHAnsi"/>
                <w:sz w:val="22"/>
                <w:szCs w:val="22"/>
              </w:rPr>
              <w:t xml:space="preserve"> a standard qualitativi congruenti con le sue finalità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839D44" w14:textId="251A16B6" w:rsidR="00B96E14" w:rsidRDefault="00B96E14" w:rsidP="00B96E1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Quanto alla </w:t>
            </w:r>
            <w:r w:rsidRPr="007B0E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sostenibilità del </w:t>
            </w:r>
            <w:proofErr w:type="spellStart"/>
            <w:r w:rsidRPr="007B0E1A">
              <w:rPr>
                <w:rFonts w:asciiTheme="minorHAnsi" w:hAnsiTheme="minorHAnsi" w:cstheme="minorHAnsi"/>
                <w:b/>
                <w:sz w:val="22"/>
                <w:szCs w:val="22"/>
              </w:rPr>
              <w:t>CdS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il rapporto fra studenti regolari e docenti (</w:t>
            </w:r>
            <w:r w:rsidRPr="007B0E1A">
              <w:rPr>
                <w:rFonts w:asciiTheme="minorHAnsi" w:hAnsiTheme="minorHAnsi" w:cstheme="minorHAnsi"/>
                <w:b/>
                <w:sz w:val="22"/>
                <w:szCs w:val="22"/>
              </w:rPr>
              <w:t>iC05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è</w:t>
            </w:r>
            <w:r w:rsidR="00EF0D8B">
              <w:rPr>
                <w:rFonts w:asciiTheme="minorHAnsi" w:hAnsiTheme="minorHAnsi" w:cstheme="minorHAnsi"/>
                <w:sz w:val="22"/>
                <w:szCs w:val="22"/>
              </w:rPr>
              <w:t xml:space="preserve"> sostanzialmente in linea rispetto al passato e mantiene una lieve distanza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alle medie di riferimento.</w:t>
            </w:r>
          </w:p>
          <w:p w14:paraId="1F3522D4" w14:textId="61E2B521" w:rsidR="00B96E14" w:rsidRDefault="00B96E14" w:rsidP="00B96E1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Dei dati relativi alle </w:t>
            </w:r>
            <w:r w:rsidRPr="00FB7899">
              <w:rPr>
                <w:rFonts w:asciiTheme="minorHAnsi" w:hAnsiTheme="minorHAnsi" w:cstheme="minorHAnsi"/>
                <w:b/>
                <w:sz w:val="22"/>
                <w:szCs w:val="22"/>
              </w:rPr>
              <w:t>docenze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76CDB">
              <w:rPr>
                <w:rFonts w:asciiTheme="minorHAnsi" w:hAnsiTheme="minorHAnsi" w:cstheme="minorHAnsi"/>
                <w:sz w:val="22"/>
                <w:szCs w:val="22"/>
              </w:rPr>
              <w:t xml:space="preserve">infine,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 segnala l’ottimo riscontro (</w:t>
            </w:r>
            <w:r w:rsidRPr="00FB7899">
              <w:rPr>
                <w:rFonts w:asciiTheme="minorHAnsi" w:hAnsiTheme="minorHAnsi" w:cstheme="minorHAnsi"/>
                <w:b/>
                <w:sz w:val="22"/>
                <w:szCs w:val="22"/>
              </w:rPr>
              <w:t>iC08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dell’appartenenza dei docenti di ruolo ai settori scientifico-disciplinari di base e caratterizzanti, </w:t>
            </w:r>
            <w:r w:rsidR="00124A99">
              <w:rPr>
                <w:rFonts w:asciiTheme="minorHAnsi" w:hAnsiTheme="minorHAnsi" w:cstheme="minorHAnsi"/>
                <w:sz w:val="22"/>
                <w:szCs w:val="22"/>
              </w:rPr>
              <w:t xml:space="preserve">confermatosi come eccellente 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supe</w:t>
            </w:r>
            <w:r w:rsidR="00124A99">
              <w:rPr>
                <w:rFonts w:asciiTheme="minorHAnsi" w:hAnsiTheme="minorHAnsi" w:cstheme="minorHAnsi"/>
                <w:sz w:val="22"/>
                <w:szCs w:val="22"/>
              </w:rPr>
              <w:t>riore alle medie di riferimento;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4A99">
              <w:rPr>
                <w:rFonts w:asciiTheme="minorHAnsi" w:hAnsiTheme="minorHAnsi" w:cstheme="minorHAnsi"/>
                <w:sz w:val="22"/>
                <w:szCs w:val="22"/>
              </w:rPr>
              <w:t>è invece in calo, rispetto al passato, l’</w:t>
            </w:r>
            <w:r w:rsidRPr="00FB7899">
              <w:rPr>
                <w:rFonts w:asciiTheme="minorHAnsi" w:hAnsiTheme="minorHAnsi" w:cstheme="minorHAnsi"/>
                <w:b/>
                <w:sz w:val="22"/>
                <w:szCs w:val="22"/>
              </w:rPr>
              <w:t>iC19</w:t>
            </w:r>
            <w:r w:rsidR="00124A99">
              <w:rPr>
                <w:rFonts w:asciiTheme="minorHAnsi" w:hAnsiTheme="minorHAnsi" w:cstheme="minorHAnsi"/>
                <w:sz w:val="22"/>
                <w:szCs w:val="22"/>
              </w:rPr>
              <w:t>, concernente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 ore di docenza erogate da personale assunto a tempo indeterminato, </w:t>
            </w:r>
            <w:r w:rsidR="00124A99">
              <w:rPr>
                <w:rFonts w:asciiTheme="minorHAnsi" w:hAnsiTheme="minorHAnsi" w:cstheme="minorHAnsi"/>
                <w:sz w:val="22"/>
                <w:szCs w:val="22"/>
              </w:rPr>
              <w:t>il quale rimane tuttavia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superiore alle medie comparative. </w:t>
            </w:r>
            <w:r w:rsidR="00124A99">
              <w:rPr>
                <w:rFonts w:asciiTheme="minorHAnsi" w:hAnsiTheme="minorHAnsi" w:cstheme="minorHAnsi"/>
                <w:sz w:val="22"/>
                <w:szCs w:val="22"/>
              </w:rPr>
              <w:t>E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nche il dato del rapporto fra studenti iscritti e docenti (</w:t>
            </w:r>
            <w:r w:rsidRPr="00FB7899">
              <w:rPr>
                <w:rFonts w:asciiTheme="minorHAnsi" w:hAnsiTheme="minorHAnsi" w:cstheme="minorHAnsi"/>
                <w:b/>
                <w:sz w:val="22"/>
                <w:szCs w:val="22"/>
              </w:rPr>
              <w:t>iC27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è </w:t>
            </w:r>
            <w:r w:rsidR="00124A99">
              <w:rPr>
                <w:rFonts w:asciiTheme="minorHAnsi" w:hAnsiTheme="minorHAnsi" w:cstheme="minorHAnsi"/>
                <w:sz w:val="22"/>
                <w:szCs w:val="22"/>
              </w:rPr>
              <w:t xml:space="preserve">buono,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linea </w:t>
            </w:r>
            <w:r w:rsidR="00124A99">
              <w:rPr>
                <w:rFonts w:asciiTheme="minorHAnsi" w:hAnsiTheme="minorHAnsi" w:cstheme="minorHAnsi"/>
                <w:sz w:val="22"/>
                <w:szCs w:val="22"/>
              </w:rPr>
              <w:t xml:space="preserve">rispetto al passato 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 i parametri </w:t>
            </w:r>
            <w:r w:rsidR="00124A99">
              <w:rPr>
                <w:rFonts w:asciiTheme="minorHAnsi" w:hAnsiTheme="minorHAnsi" w:cstheme="minorHAnsi"/>
                <w:sz w:val="22"/>
                <w:szCs w:val="22"/>
              </w:rPr>
              <w:t xml:space="preserve">comparativi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 riferimento, mentre più basso</w:t>
            </w:r>
            <w:r w:rsidR="00124A99">
              <w:rPr>
                <w:rFonts w:asciiTheme="minorHAnsi" w:hAnsiTheme="minorHAnsi" w:cstheme="minorHAnsi"/>
                <w:sz w:val="22"/>
                <w:szCs w:val="22"/>
              </w:rPr>
              <w:t>, ma stabile,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è il parametro sul rap</w:t>
            </w:r>
            <w:r w:rsidR="00476CDB">
              <w:rPr>
                <w:rFonts w:asciiTheme="minorHAnsi" w:hAnsiTheme="minorHAnsi" w:cstheme="minorHAnsi"/>
                <w:sz w:val="22"/>
                <w:szCs w:val="22"/>
              </w:rPr>
              <w:t>porto fra studenti iscritti al primo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anno e le ore degli insegnamenti da elargire in quella fase del percorso di studi (</w:t>
            </w:r>
            <w:r w:rsidRPr="00C70CC6">
              <w:rPr>
                <w:rFonts w:asciiTheme="minorHAnsi" w:hAnsiTheme="minorHAnsi" w:cstheme="minorHAnsi"/>
                <w:b/>
                <w:sz w:val="22"/>
                <w:szCs w:val="22"/>
              </w:rPr>
              <w:t>iC28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 su entrambi questi indici pesa, peraltro, il valore del denominatore concernente l’offerta formativa per ore di docenza, assai più alto delle medie comparative dell’area geografica e formate su scala nazionale.</w:t>
            </w:r>
          </w:p>
          <w:p w14:paraId="2E11E11E" w14:textId="4F2D147D" w:rsidR="00CF6ADA" w:rsidRPr="005E48B6" w:rsidRDefault="00476CDB" w:rsidP="00476CDB">
            <w:pPr>
              <w:pStyle w:val="Default"/>
              <w:mirrorIndents/>
              <w:jc w:val="both"/>
              <w:rPr>
                <w:color w:val="auto"/>
                <w:sz w:val="16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Conclusivamente, pare di poter rilevare che, rispetto alle medie di riferimento comparative, </w:t>
            </w:r>
            <w:r w:rsidR="004E0F63">
              <w:rPr>
                <w:rFonts w:asciiTheme="minorHAnsi" w:hAnsiTheme="minorHAnsi" w:cstheme="minorHAnsi"/>
                <w:sz w:val="22"/>
                <w:szCs w:val="22"/>
              </w:rPr>
              <w:t xml:space="preserve">e tenendo conto delle tendenze di più lungo periodo,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il corso manifesta alcune difficoltà, talora persistenti, nei dati di iscrizione degli studenti al corso e nei valori di prosecuzione degli studenti nelle loro carriere, mentre emergono valori buoni, o comunque in miglioramento, e talora eccellenti, per quanto concerne il riscontro del numero di laureati, dei valori di inserimento di questi nelle occupazioni lavorative</w:t>
            </w:r>
            <w:r w:rsidR="004E0F63">
              <w:rPr>
                <w:rFonts w:asciiTheme="minorHAnsi" w:hAnsiTheme="minorHAnsi" w:cstheme="minorHAnsi"/>
                <w:sz w:val="22"/>
                <w:szCs w:val="22"/>
              </w:rPr>
              <w:t>, di offerta formativa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del gradimento degli iscritti circa il rendimento del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CdS</w:t>
            </w:r>
            <w:proofErr w:type="spellEnd"/>
            <w:r w:rsidR="004E0F63">
              <w:rPr>
                <w:rFonts w:asciiTheme="minorHAnsi" w:hAnsiTheme="minorHAnsi" w:cstheme="minorHAnsi"/>
                <w:sz w:val="22"/>
                <w:szCs w:val="22"/>
              </w:rPr>
              <w:t>, che rinfrancano circa il livello di qualità del servizio erogato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F5FAFC" w14:textId="77777777" w:rsidR="00CF6ADA" w:rsidRPr="00A87E8E" w:rsidRDefault="00CF6ADA" w:rsidP="00CE0FAD">
            <w:pPr>
              <w:pStyle w:val="Default"/>
              <w:mirrorIndents/>
              <w:rPr>
                <w:i/>
                <w:sz w:val="16"/>
                <w:szCs w:val="18"/>
                <w:lang w:val="sv-SE"/>
              </w:rPr>
            </w:pPr>
          </w:p>
        </w:tc>
      </w:tr>
    </w:tbl>
    <w:p w14:paraId="53E97C60" w14:textId="77777777" w:rsidR="00CF6ADA" w:rsidRDefault="00CF6ADA" w:rsidP="00CE0FAD">
      <w:pPr>
        <w:mirrorIndents/>
        <w:rPr>
          <w:rFonts w:ascii="Segoe UI" w:hAnsi="Segoe UI" w:cs="Segoe U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92"/>
      </w:tblGrid>
      <w:tr w:rsidR="00CF6ADA" w:rsidRPr="005E48B6" w14:paraId="6F4BE394" w14:textId="77777777" w:rsidTr="00864F3A">
        <w:tc>
          <w:tcPr>
            <w:tcW w:w="9392" w:type="dxa"/>
            <w:shd w:val="clear" w:color="auto" w:fill="D5DCE4"/>
            <w:vAlign w:val="center"/>
          </w:tcPr>
          <w:p w14:paraId="48152C28" w14:textId="10A049D9" w:rsidR="00CF6ADA" w:rsidRPr="005E48B6" w:rsidRDefault="00CF6ADA" w:rsidP="00412323">
            <w:pPr>
              <w:spacing w:line="216" w:lineRule="auto"/>
              <w:mirrorIndents/>
              <w:rPr>
                <w:rFonts w:ascii="Segoe UI" w:hAnsi="Segoe UI" w:cs="Segoe UI"/>
                <w:b/>
                <w:sz w:val="22"/>
                <w:szCs w:val="28"/>
              </w:rPr>
            </w:pPr>
            <w:r>
              <w:rPr>
                <w:rFonts w:ascii="Segoe UI" w:hAnsi="Segoe UI" w:cs="Segoe UI"/>
              </w:rPr>
              <w:br w:type="page"/>
            </w:r>
            <w:r>
              <w:rPr>
                <w:rFonts w:ascii="Segoe UI" w:hAnsi="Segoe UI" w:cs="Segoe UI"/>
                <w:b/>
                <w:sz w:val="22"/>
                <w:szCs w:val="28"/>
              </w:rPr>
              <w:t>R</w:t>
            </w:r>
            <w:r w:rsidRPr="005E48B6">
              <w:rPr>
                <w:rFonts w:ascii="Segoe UI" w:hAnsi="Segoe UI" w:cs="Segoe UI"/>
                <w:b/>
                <w:sz w:val="22"/>
                <w:szCs w:val="28"/>
              </w:rPr>
              <w:t>I</w:t>
            </w:r>
            <w:r>
              <w:rPr>
                <w:rFonts w:ascii="Segoe UI" w:hAnsi="Segoe UI" w:cs="Segoe UI"/>
                <w:b/>
                <w:sz w:val="22"/>
                <w:szCs w:val="28"/>
              </w:rPr>
              <w:t xml:space="preserve">EPILOGO </w:t>
            </w:r>
            <w:r w:rsidR="006B42B6">
              <w:rPr>
                <w:rFonts w:ascii="Segoe UI" w:hAnsi="Segoe UI" w:cs="Segoe UI"/>
                <w:b/>
                <w:sz w:val="22"/>
                <w:szCs w:val="28"/>
              </w:rPr>
              <w:t xml:space="preserve">DEGLI </w:t>
            </w:r>
            <w:r>
              <w:rPr>
                <w:rFonts w:ascii="Segoe UI" w:hAnsi="Segoe UI" w:cs="Segoe UI"/>
                <w:b/>
                <w:sz w:val="22"/>
                <w:szCs w:val="28"/>
              </w:rPr>
              <w:t>INDICATORI U</w:t>
            </w:r>
            <w:r w:rsidR="00412323">
              <w:rPr>
                <w:rFonts w:ascii="Segoe UI" w:hAnsi="Segoe UI" w:cs="Segoe UI"/>
                <w:b/>
                <w:sz w:val="22"/>
                <w:szCs w:val="28"/>
              </w:rPr>
              <w:t>S</w:t>
            </w:r>
            <w:r>
              <w:rPr>
                <w:rFonts w:ascii="Segoe UI" w:hAnsi="Segoe UI" w:cs="Segoe UI"/>
                <w:b/>
                <w:sz w:val="22"/>
                <w:szCs w:val="28"/>
              </w:rPr>
              <w:t>ATI</w:t>
            </w:r>
            <w:r w:rsidR="006B42B6">
              <w:rPr>
                <w:rFonts w:ascii="Segoe UI" w:hAnsi="Segoe UI" w:cs="Segoe UI"/>
                <w:b/>
                <w:sz w:val="22"/>
                <w:szCs w:val="28"/>
              </w:rPr>
              <w:t xml:space="preserve"> NELLA SMA</w:t>
            </w:r>
          </w:p>
        </w:tc>
      </w:tr>
    </w:tbl>
    <w:p w14:paraId="6F4A1BDD" w14:textId="0A0ED1BE" w:rsidR="001D6EF2" w:rsidRDefault="00CF6ADA" w:rsidP="00200AEB">
      <w:pPr>
        <w:spacing w:after="0"/>
        <w:mirrorIndents/>
        <w:rPr>
          <w:rFonts w:ascii="Segoe UI" w:hAnsi="Segoe UI" w:cs="Segoe UI"/>
          <w:i/>
          <w:sz w:val="16"/>
          <w:szCs w:val="18"/>
        </w:rPr>
      </w:pPr>
      <w:r w:rsidRPr="00783743">
        <w:rPr>
          <w:rFonts w:ascii="Segoe UI" w:hAnsi="Segoe UI" w:cs="Segoe UI"/>
          <w:i/>
          <w:sz w:val="16"/>
          <w:szCs w:val="18"/>
        </w:rPr>
        <w:t>(</w:t>
      </w:r>
      <w:r w:rsidR="00821E81">
        <w:rPr>
          <w:rFonts w:ascii="Segoe UI" w:hAnsi="Segoe UI" w:cs="Segoe UI"/>
          <w:i/>
          <w:sz w:val="16"/>
          <w:szCs w:val="18"/>
        </w:rPr>
        <w:t>I</w:t>
      </w:r>
      <w:r w:rsidRPr="00783743">
        <w:rPr>
          <w:rFonts w:ascii="Segoe UI" w:hAnsi="Segoe UI" w:cs="Segoe UI"/>
          <w:i/>
          <w:sz w:val="16"/>
          <w:szCs w:val="18"/>
        </w:rPr>
        <w:t>ndica</w:t>
      </w:r>
      <w:r w:rsidR="00DD1D50">
        <w:rPr>
          <w:rFonts w:ascii="Segoe UI" w:hAnsi="Segoe UI" w:cs="Segoe UI"/>
          <w:i/>
          <w:sz w:val="16"/>
          <w:szCs w:val="18"/>
        </w:rPr>
        <w:t>re con</w:t>
      </w:r>
      <w:r w:rsidRPr="00783743">
        <w:rPr>
          <w:rFonts w:ascii="Segoe UI" w:hAnsi="Segoe UI" w:cs="Segoe UI"/>
          <w:i/>
          <w:sz w:val="16"/>
          <w:szCs w:val="18"/>
        </w:rPr>
        <w:t xml:space="preserve"> </w:t>
      </w:r>
      <w:r>
        <w:rPr>
          <w:rFonts w:ascii="Segoe UI" w:hAnsi="Segoe UI" w:cs="Segoe UI"/>
          <w:i/>
          <w:sz w:val="16"/>
          <w:szCs w:val="18"/>
        </w:rPr>
        <w:t xml:space="preserve">una crocetta </w:t>
      </w:r>
      <w:r w:rsidR="00DD1D50">
        <w:rPr>
          <w:rFonts w:ascii="Segoe UI" w:hAnsi="Segoe UI" w:cs="Segoe UI"/>
          <w:i/>
          <w:sz w:val="16"/>
          <w:szCs w:val="18"/>
        </w:rPr>
        <w:t>il tenore de</w:t>
      </w:r>
      <w:r>
        <w:rPr>
          <w:rFonts w:ascii="Segoe UI" w:hAnsi="Segoe UI" w:cs="Segoe UI"/>
          <w:i/>
          <w:sz w:val="16"/>
          <w:szCs w:val="18"/>
        </w:rPr>
        <w:t xml:space="preserve">gli indicatori </w:t>
      </w:r>
      <w:r w:rsidR="00DD1D50">
        <w:rPr>
          <w:rFonts w:ascii="Segoe UI" w:hAnsi="Segoe UI" w:cs="Segoe UI"/>
          <w:i/>
          <w:sz w:val="16"/>
          <w:szCs w:val="18"/>
        </w:rPr>
        <w:t>scelti per</w:t>
      </w:r>
      <w:r>
        <w:rPr>
          <w:rFonts w:ascii="Segoe UI" w:hAnsi="Segoe UI" w:cs="Segoe UI"/>
          <w:i/>
          <w:sz w:val="16"/>
          <w:szCs w:val="18"/>
        </w:rPr>
        <w:t xml:space="preserve"> </w:t>
      </w:r>
      <w:r w:rsidR="00DD1D50">
        <w:rPr>
          <w:rFonts w:ascii="Segoe UI" w:hAnsi="Segoe UI" w:cs="Segoe UI"/>
          <w:i/>
          <w:sz w:val="16"/>
          <w:szCs w:val="18"/>
        </w:rPr>
        <w:t>il commento</w:t>
      </w:r>
      <w:r w:rsidR="0041391E">
        <w:rPr>
          <w:rFonts w:ascii="Segoe UI" w:hAnsi="Segoe UI" w:cs="Segoe UI"/>
          <w:i/>
          <w:sz w:val="16"/>
          <w:szCs w:val="18"/>
        </w:rPr>
        <w:t>, ai fini di successive analisi da parte di tutti gl</w:t>
      </w:r>
      <w:r w:rsidR="003E26F0">
        <w:rPr>
          <w:rFonts w:ascii="Segoe UI" w:hAnsi="Segoe UI" w:cs="Segoe UI"/>
          <w:i/>
          <w:sz w:val="16"/>
          <w:szCs w:val="18"/>
        </w:rPr>
        <w:t>i attori convolti nel Sistema AQ</w:t>
      </w:r>
      <w:r w:rsidR="003379B9">
        <w:rPr>
          <w:rFonts w:ascii="Segoe UI" w:hAnsi="Segoe UI" w:cs="Segoe UI"/>
          <w:i/>
          <w:sz w:val="16"/>
          <w:szCs w:val="18"/>
        </w:rPr>
        <w:t>)</w:t>
      </w:r>
    </w:p>
    <w:p w14:paraId="3BB6D83D" w14:textId="3A4D24AB" w:rsidR="003379B9" w:rsidRPr="003379B9" w:rsidRDefault="003379B9" w:rsidP="003379B9">
      <w:pPr>
        <w:spacing w:after="0"/>
        <w:mirrorIndents/>
        <w:rPr>
          <w:rFonts w:ascii="Segoe UI" w:hAnsi="Segoe UI" w:cs="Segoe UI"/>
          <w:b/>
          <w:sz w:val="16"/>
          <w:szCs w:val="18"/>
          <w:u w:val="single"/>
        </w:rPr>
      </w:pPr>
      <w:r w:rsidRPr="003379B9">
        <w:rPr>
          <w:rFonts w:ascii="Segoe UI" w:hAnsi="Segoe UI" w:cs="Segoe UI"/>
          <w:b/>
          <w:sz w:val="16"/>
          <w:szCs w:val="18"/>
          <w:u w:val="single"/>
        </w:rPr>
        <w:t>Nota Bene:</w:t>
      </w:r>
    </w:p>
    <w:p w14:paraId="4D6697EE" w14:textId="4CE8F607" w:rsidR="00CF6ADA" w:rsidRPr="003379B9" w:rsidRDefault="00200AEB" w:rsidP="003379B9">
      <w:pPr>
        <w:spacing w:after="0"/>
        <w:mirrorIndents/>
        <w:rPr>
          <w:rFonts w:ascii="Segoe UI" w:hAnsi="Segoe UI" w:cs="Segoe UI"/>
          <w:sz w:val="16"/>
          <w:szCs w:val="18"/>
        </w:rPr>
      </w:pPr>
      <w:r w:rsidRPr="003379B9">
        <w:rPr>
          <w:rFonts w:ascii="Segoe UI" w:hAnsi="Segoe UI" w:cs="Segoe UI"/>
          <w:sz w:val="16"/>
          <w:szCs w:val="18"/>
        </w:rPr>
        <w:t>punt</w:t>
      </w:r>
      <w:r w:rsidR="003379B9" w:rsidRPr="003379B9">
        <w:rPr>
          <w:rFonts w:ascii="Segoe UI" w:hAnsi="Segoe UI" w:cs="Segoe UI"/>
          <w:sz w:val="16"/>
          <w:szCs w:val="18"/>
        </w:rPr>
        <w:t>o</w:t>
      </w:r>
      <w:r w:rsidRPr="003379B9">
        <w:rPr>
          <w:rFonts w:ascii="Segoe UI" w:hAnsi="Segoe UI" w:cs="Segoe UI"/>
          <w:sz w:val="16"/>
          <w:szCs w:val="18"/>
        </w:rPr>
        <w:t xml:space="preserve"> di forza: indicator</w:t>
      </w:r>
      <w:r w:rsidR="003379B9" w:rsidRPr="003379B9">
        <w:rPr>
          <w:rFonts w:ascii="Segoe UI" w:hAnsi="Segoe UI" w:cs="Segoe UI"/>
          <w:sz w:val="16"/>
          <w:szCs w:val="18"/>
        </w:rPr>
        <w:t>e</w:t>
      </w:r>
      <w:r w:rsidRPr="003379B9">
        <w:rPr>
          <w:rFonts w:ascii="Segoe UI" w:hAnsi="Segoe UI" w:cs="Segoe UI"/>
          <w:sz w:val="16"/>
          <w:szCs w:val="18"/>
        </w:rPr>
        <w:t xml:space="preserve"> </w:t>
      </w:r>
      <w:r w:rsidR="003379B9" w:rsidRPr="003379B9">
        <w:rPr>
          <w:rFonts w:ascii="Segoe UI" w:hAnsi="Segoe UI" w:cs="Segoe UI"/>
          <w:sz w:val="16"/>
          <w:szCs w:val="18"/>
        </w:rPr>
        <w:t xml:space="preserve">con valore </w:t>
      </w:r>
      <w:r w:rsidRPr="003379B9">
        <w:rPr>
          <w:rFonts w:ascii="Segoe UI" w:hAnsi="Segoe UI" w:cs="Segoe UI"/>
          <w:sz w:val="16"/>
          <w:szCs w:val="18"/>
        </w:rPr>
        <w:t>particolarmente positiv</w:t>
      </w:r>
      <w:r w:rsidR="003379B9" w:rsidRPr="003379B9">
        <w:rPr>
          <w:rFonts w:ascii="Segoe UI" w:hAnsi="Segoe UI" w:cs="Segoe UI"/>
          <w:sz w:val="16"/>
          <w:szCs w:val="18"/>
        </w:rPr>
        <w:t>o</w:t>
      </w:r>
      <w:r w:rsidRPr="003379B9">
        <w:rPr>
          <w:rFonts w:ascii="Segoe UI" w:hAnsi="Segoe UI" w:cs="Segoe UI"/>
          <w:sz w:val="16"/>
          <w:szCs w:val="18"/>
        </w:rPr>
        <w:t xml:space="preserve"> che si ritiene utile menzionare;</w:t>
      </w:r>
    </w:p>
    <w:p w14:paraId="6AE74ABC" w14:textId="21E95794" w:rsidR="00200AEB" w:rsidRPr="003379B9" w:rsidRDefault="00200AEB" w:rsidP="003379B9">
      <w:pPr>
        <w:mirrorIndents/>
        <w:rPr>
          <w:rFonts w:ascii="Segoe UI" w:hAnsi="Segoe UI" w:cs="Segoe UI"/>
          <w:sz w:val="16"/>
          <w:szCs w:val="18"/>
        </w:rPr>
      </w:pPr>
      <w:r w:rsidRPr="003379B9">
        <w:rPr>
          <w:rFonts w:ascii="Segoe UI" w:hAnsi="Segoe UI" w:cs="Segoe UI"/>
          <w:sz w:val="16"/>
          <w:szCs w:val="18"/>
        </w:rPr>
        <w:t>punt</w:t>
      </w:r>
      <w:r w:rsidR="003379B9" w:rsidRPr="003379B9">
        <w:rPr>
          <w:rFonts w:ascii="Segoe UI" w:hAnsi="Segoe UI" w:cs="Segoe UI"/>
          <w:sz w:val="16"/>
          <w:szCs w:val="18"/>
        </w:rPr>
        <w:t>o</w:t>
      </w:r>
      <w:r w:rsidRPr="003379B9">
        <w:rPr>
          <w:rFonts w:ascii="Segoe UI" w:hAnsi="Segoe UI" w:cs="Segoe UI"/>
          <w:sz w:val="16"/>
          <w:szCs w:val="18"/>
        </w:rPr>
        <w:t xml:space="preserve"> di debolezza: indicator</w:t>
      </w:r>
      <w:r w:rsidR="003379B9" w:rsidRPr="003379B9">
        <w:rPr>
          <w:rFonts w:ascii="Segoe UI" w:hAnsi="Segoe UI" w:cs="Segoe UI"/>
          <w:sz w:val="16"/>
          <w:szCs w:val="18"/>
        </w:rPr>
        <w:t>e</w:t>
      </w:r>
      <w:r w:rsidRPr="003379B9">
        <w:rPr>
          <w:rFonts w:ascii="Segoe UI" w:hAnsi="Segoe UI" w:cs="Segoe UI"/>
          <w:sz w:val="16"/>
          <w:szCs w:val="18"/>
        </w:rPr>
        <w:t xml:space="preserve"> con valor</w:t>
      </w:r>
      <w:r w:rsidR="003379B9" w:rsidRPr="003379B9">
        <w:rPr>
          <w:rFonts w:ascii="Segoe UI" w:hAnsi="Segoe UI" w:cs="Segoe UI"/>
          <w:sz w:val="16"/>
          <w:szCs w:val="18"/>
        </w:rPr>
        <w:t>e</w:t>
      </w:r>
      <w:r w:rsidRPr="003379B9">
        <w:rPr>
          <w:rFonts w:ascii="Segoe UI" w:hAnsi="Segoe UI" w:cs="Segoe UI"/>
          <w:sz w:val="16"/>
          <w:szCs w:val="18"/>
        </w:rPr>
        <w:t xml:space="preserve"> critic</w:t>
      </w:r>
      <w:r w:rsidR="003379B9" w:rsidRPr="003379B9">
        <w:rPr>
          <w:rFonts w:ascii="Segoe UI" w:hAnsi="Segoe UI" w:cs="Segoe UI"/>
          <w:sz w:val="16"/>
          <w:szCs w:val="18"/>
        </w:rPr>
        <w:t>o</w:t>
      </w:r>
      <w:r w:rsidRPr="003379B9">
        <w:rPr>
          <w:rFonts w:ascii="Segoe UI" w:hAnsi="Segoe UI" w:cs="Segoe UI"/>
          <w:sz w:val="16"/>
          <w:szCs w:val="18"/>
        </w:rPr>
        <w:t xml:space="preserve"> che necessita di</w:t>
      </w:r>
      <w:r w:rsidR="003379B9" w:rsidRPr="003379B9">
        <w:rPr>
          <w:rFonts w:ascii="Segoe UI" w:hAnsi="Segoe UI" w:cs="Segoe UI"/>
          <w:sz w:val="16"/>
          <w:szCs w:val="18"/>
        </w:rPr>
        <w:t xml:space="preserve"> ulteriore </w:t>
      </w:r>
      <w:r w:rsidRPr="003379B9">
        <w:rPr>
          <w:rFonts w:ascii="Segoe UI" w:hAnsi="Segoe UI" w:cs="Segoe UI"/>
          <w:sz w:val="16"/>
          <w:szCs w:val="18"/>
        </w:rPr>
        <w:t xml:space="preserve">analisi </w:t>
      </w:r>
      <w:r w:rsidR="003379B9" w:rsidRPr="003379B9">
        <w:rPr>
          <w:rFonts w:ascii="Segoe UI" w:hAnsi="Segoe UI" w:cs="Segoe UI"/>
          <w:sz w:val="16"/>
          <w:szCs w:val="18"/>
        </w:rPr>
        <w:t xml:space="preserve">per individuare </w:t>
      </w:r>
      <w:r w:rsidRPr="003379B9">
        <w:rPr>
          <w:rFonts w:ascii="Segoe UI" w:hAnsi="Segoe UI" w:cs="Segoe UI"/>
          <w:sz w:val="16"/>
          <w:szCs w:val="18"/>
        </w:rPr>
        <w:t>possibili cause</w:t>
      </w:r>
      <w:r w:rsidR="00C30E94" w:rsidRPr="003379B9">
        <w:rPr>
          <w:rFonts w:ascii="Segoe UI" w:hAnsi="Segoe UI" w:cs="Segoe UI"/>
          <w:sz w:val="16"/>
          <w:szCs w:val="18"/>
        </w:rPr>
        <w:t>/soluzioni</w:t>
      </w:r>
    </w:p>
    <w:p w14:paraId="73DF6657" w14:textId="77777777" w:rsidR="001945D2" w:rsidRDefault="001945D2" w:rsidP="00CE0FAD">
      <w:pPr>
        <w:mirrorIndents/>
        <w:rPr>
          <w:rFonts w:ascii="Segoe UI" w:hAnsi="Segoe UI" w:cs="Segoe UI"/>
          <w:i/>
          <w:sz w:val="16"/>
          <w:szCs w:val="18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3422"/>
        <w:gridCol w:w="435"/>
        <w:gridCol w:w="435"/>
      </w:tblGrid>
      <w:tr w:rsidR="00EE3D24" w14:paraId="16064C93" w14:textId="77777777" w:rsidTr="008B4B5B">
        <w:trPr>
          <w:cantSplit/>
          <w:trHeight w:val="1814"/>
          <w:tblHeader/>
          <w:jc w:val="center"/>
        </w:trPr>
        <w:tc>
          <w:tcPr>
            <w:tcW w:w="856" w:type="dxa"/>
            <w:tcBorders>
              <w:right w:val="nil"/>
            </w:tcBorders>
            <w:shd w:val="clear" w:color="auto" w:fill="auto"/>
            <w:vAlign w:val="center"/>
          </w:tcPr>
          <w:p w14:paraId="5C66127D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3422" w:type="dxa"/>
            <w:tcBorders>
              <w:left w:val="nil"/>
            </w:tcBorders>
            <w:shd w:val="clear" w:color="auto" w:fill="auto"/>
            <w:vAlign w:val="center"/>
          </w:tcPr>
          <w:p w14:paraId="52E01B0D" w14:textId="407AC800" w:rsidR="00EE3D24" w:rsidRPr="00C82ED8" w:rsidRDefault="00EE3D24" w:rsidP="000D4CC5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EA7CBF">
              <w:rPr>
                <w:rFonts w:ascii="Segoe UI" w:hAnsi="Segoe UI" w:cs="Segoe UI"/>
                <w:b/>
              </w:rPr>
              <w:t>Indicatori u</w:t>
            </w:r>
            <w:r w:rsidR="000D4CC5">
              <w:rPr>
                <w:rFonts w:ascii="Segoe UI" w:hAnsi="Segoe UI" w:cs="Segoe UI"/>
                <w:b/>
              </w:rPr>
              <w:t>s</w:t>
            </w:r>
            <w:r w:rsidRPr="00EA7CBF">
              <w:rPr>
                <w:rFonts w:ascii="Segoe UI" w:hAnsi="Segoe UI" w:cs="Segoe UI"/>
                <w:b/>
              </w:rPr>
              <w:t>ati</w:t>
            </w:r>
            <w:r w:rsidR="005E1951">
              <w:rPr>
                <w:rFonts w:ascii="Segoe UI" w:hAnsi="Segoe UI" w:cs="Segoe UI"/>
                <w:b/>
              </w:rPr>
              <w:t xml:space="preserve"> nel commento</w:t>
            </w:r>
          </w:p>
        </w:tc>
        <w:tc>
          <w:tcPr>
            <w:tcW w:w="435" w:type="dxa"/>
            <w:textDirection w:val="btLr"/>
            <w:vAlign w:val="center"/>
          </w:tcPr>
          <w:p w14:paraId="7A7AB329" w14:textId="10582AA6" w:rsidR="005E1951" w:rsidRDefault="00EE3D24" w:rsidP="0064130D">
            <w:pPr>
              <w:ind w:left="113" w:right="113"/>
              <w:mirrorIndents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Punto di forza</w:t>
            </w:r>
          </w:p>
        </w:tc>
        <w:tc>
          <w:tcPr>
            <w:tcW w:w="435" w:type="dxa"/>
            <w:textDirection w:val="btLr"/>
            <w:vAlign w:val="center"/>
          </w:tcPr>
          <w:p w14:paraId="50382C3F" w14:textId="77777777" w:rsidR="00EE3D24" w:rsidRDefault="00EE3D24" w:rsidP="0064130D">
            <w:pPr>
              <w:ind w:left="113" w:right="113"/>
              <w:mirrorIndents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Punto di debolezza</w:t>
            </w:r>
          </w:p>
        </w:tc>
      </w:tr>
      <w:tr w:rsidR="00EE3D24" w14:paraId="38B069E7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shd w:val="clear" w:color="auto" w:fill="auto"/>
            <w:vAlign w:val="center"/>
          </w:tcPr>
          <w:p w14:paraId="0AB45529" w14:textId="77777777" w:rsidR="00EE3D24" w:rsidRPr="003258D6" w:rsidRDefault="00EE3D24" w:rsidP="003A3766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0a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  <w:vAlign w:val="center"/>
          </w:tcPr>
          <w:p w14:paraId="4333AA62" w14:textId="77777777" w:rsidR="00EE3D24" w:rsidRPr="003258D6" w:rsidRDefault="00EE3D24" w:rsidP="003A3766">
            <w:pPr>
              <w:mirrorIndents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82ED8">
              <w:rPr>
                <w:rFonts w:ascii="Segoe UI" w:hAnsi="Segoe UI" w:cs="Segoe UI"/>
                <w:sz w:val="16"/>
              </w:rPr>
              <w:t>Avvii di carri</w:t>
            </w:r>
            <w:r>
              <w:rPr>
                <w:rFonts w:ascii="Segoe UI" w:hAnsi="Segoe UI" w:cs="Segoe UI"/>
                <w:sz w:val="16"/>
              </w:rPr>
              <w:t xml:space="preserve">era al primo anno </w:t>
            </w:r>
            <w:r w:rsidRPr="00901AEB">
              <w:rPr>
                <w:rFonts w:ascii="Segoe UI" w:hAnsi="Segoe UI" w:cs="Segoe UI"/>
                <w:sz w:val="16"/>
              </w:rPr>
              <w:t>(L; LMCU; LM)</w:t>
            </w:r>
          </w:p>
        </w:tc>
        <w:tc>
          <w:tcPr>
            <w:tcW w:w="435" w:type="dxa"/>
            <w:vAlign w:val="center"/>
          </w:tcPr>
          <w:p w14:paraId="301C5D0D" w14:textId="64559E45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435" w:type="dxa"/>
            <w:vAlign w:val="center"/>
          </w:tcPr>
          <w:p w14:paraId="4B2A8155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EE3D24" w14:paraId="406DF99B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shd w:val="clear" w:color="auto" w:fill="auto"/>
            <w:vAlign w:val="center"/>
          </w:tcPr>
          <w:p w14:paraId="62DB9C75" w14:textId="77777777" w:rsidR="00EE3D24" w:rsidRPr="003258D6" w:rsidRDefault="00EE3D24" w:rsidP="003A3766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0b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  <w:vAlign w:val="center"/>
          </w:tcPr>
          <w:p w14:paraId="1E0E10AB" w14:textId="77777777" w:rsidR="00EE3D24" w:rsidRPr="003258D6" w:rsidRDefault="00EE3D24" w:rsidP="003A3766">
            <w:pPr>
              <w:mirrorIndents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</w:rPr>
              <w:t>Immatricolati puri (L; LMCU</w:t>
            </w:r>
            <w:r w:rsidRPr="00901AEB">
              <w:rPr>
                <w:rFonts w:ascii="Segoe UI" w:hAnsi="Segoe UI" w:cs="Segoe UI"/>
                <w:sz w:val="16"/>
              </w:rPr>
              <w:t>)</w:t>
            </w:r>
          </w:p>
        </w:tc>
        <w:tc>
          <w:tcPr>
            <w:tcW w:w="435" w:type="dxa"/>
            <w:vAlign w:val="center"/>
          </w:tcPr>
          <w:p w14:paraId="1CA233A2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435" w:type="dxa"/>
            <w:vAlign w:val="center"/>
          </w:tcPr>
          <w:p w14:paraId="15A39A95" w14:textId="66C7005C" w:rsidR="00EE3D24" w:rsidRPr="009C32A8" w:rsidRDefault="00864F3A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48D3DD81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shd w:val="clear" w:color="auto" w:fill="auto"/>
            <w:vAlign w:val="center"/>
          </w:tcPr>
          <w:p w14:paraId="560D80FB" w14:textId="77777777" w:rsidR="00EE3D24" w:rsidRPr="003258D6" w:rsidRDefault="00EE3D24" w:rsidP="003A3766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0c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  <w:vAlign w:val="center"/>
          </w:tcPr>
          <w:p w14:paraId="5F19F692" w14:textId="77777777" w:rsidR="00EE3D24" w:rsidRPr="003258D6" w:rsidRDefault="00EE3D24" w:rsidP="003A3766">
            <w:pPr>
              <w:mirrorIndents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82ED8">
              <w:rPr>
                <w:rFonts w:ascii="Segoe UI" w:hAnsi="Segoe UI" w:cs="Segoe UI"/>
                <w:sz w:val="16"/>
              </w:rPr>
              <w:t>Iscritti per la prima volta a LM</w:t>
            </w:r>
            <w:r>
              <w:rPr>
                <w:rFonts w:ascii="Segoe UI" w:hAnsi="Segoe UI" w:cs="Segoe UI"/>
                <w:sz w:val="16"/>
              </w:rPr>
              <w:t xml:space="preserve"> (LM)</w:t>
            </w:r>
          </w:p>
        </w:tc>
        <w:tc>
          <w:tcPr>
            <w:tcW w:w="435" w:type="dxa"/>
            <w:vAlign w:val="center"/>
          </w:tcPr>
          <w:p w14:paraId="021533A2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435" w:type="dxa"/>
            <w:vAlign w:val="center"/>
          </w:tcPr>
          <w:p w14:paraId="026A733F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EE3D24" w14:paraId="3C012E7E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shd w:val="clear" w:color="auto" w:fill="auto"/>
            <w:vAlign w:val="center"/>
          </w:tcPr>
          <w:p w14:paraId="02E56F62" w14:textId="77777777" w:rsidR="00EE3D24" w:rsidRPr="003258D6" w:rsidRDefault="00EE3D24" w:rsidP="003A3766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0d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  <w:vAlign w:val="center"/>
          </w:tcPr>
          <w:p w14:paraId="36EEC66A" w14:textId="77777777" w:rsidR="00EE3D24" w:rsidRPr="003258D6" w:rsidRDefault="00EE3D24" w:rsidP="003A3766">
            <w:pPr>
              <w:mirrorIndents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</w:rPr>
              <w:t xml:space="preserve">Iscritti </w:t>
            </w:r>
            <w:r w:rsidRPr="00901AEB">
              <w:rPr>
                <w:rFonts w:ascii="Segoe UI" w:hAnsi="Segoe UI" w:cs="Segoe UI"/>
                <w:sz w:val="16"/>
              </w:rPr>
              <w:t>(L; LMCU; LM)</w:t>
            </w:r>
          </w:p>
        </w:tc>
        <w:tc>
          <w:tcPr>
            <w:tcW w:w="435" w:type="dxa"/>
            <w:vAlign w:val="center"/>
          </w:tcPr>
          <w:p w14:paraId="013E92C0" w14:textId="03E4C774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89089BE" w14:textId="05052CC2" w:rsidR="00EE3D24" w:rsidRPr="009C32A8" w:rsidRDefault="00654F7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6BE1DDAC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shd w:val="clear" w:color="auto" w:fill="auto"/>
            <w:vAlign w:val="center"/>
          </w:tcPr>
          <w:p w14:paraId="14616F5E" w14:textId="77777777" w:rsidR="00EE3D24" w:rsidRPr="003258D6" w:rsidRDefault="00EE3D24" w:rsidP="003A3766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0e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  <w:vAlign w:val="center"/>
          </w:tcPr>
          <w:p w14:paraId="78FA2995" w14:textId="77777777" w:rsidR="00EE3D24" w:rsidRPr="003258D6" w:rsidRDefault="00EE3D24" w:rsidP="003A3766">
            <w:pPr>
              <w:mirrorIndents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82ED8">
              <w:rPr>
                <w:rFonts w:ascii="Segoe UI" w:hAnsi="Segoe UI" w:cs="Segoe UI"/>
                <w:sz w:val="16"/>
              </w:rPr>
              <w:t>Iscritti Regolar</w:t>
            </w:r>
            <w:r>
              <w:rPr>
                <w:rFonts w:ascii="Segoe UI" w:hAnsi="Segoe UI" w:cs="Segoe UI"/>
                <w:sz w:val="16"/>
              </w:rPr>
              <w:t xml:space="preserve">i ai fini del costo standard </w:t>
            </w:r>
            <w:r w:rsidRPr="00901AEB">
              <w:rPr>
                <w:rFonts w:ascii="Segoe UI" w:hAnsi="Segoe UI" w:cs="Segoe UI"/>
                <w:sz w:val="16"/>
              </w:rPr>
              <w:t>(L; LMCU; LM)</w:t>
            </w:r>
          </w:p>
        </w:tc>
        <w:tc>
          <w:tcPr>
            <w:tcW w:w="435" w:type="dxa"/>
            <w:vAlign w:val="center"/>
          </w:tcPr>
          <w:p w14:paraId="301A416D" w14:textId="57AB9435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435" w:type="dxa"/>
            <w:vAlign w:val="center"/>
          </w:tcPr>
          <w:p w14:paraId="7A4CB5A8" w14:textId="71908E80" w:rsidR="00EE3D24" w:rsidRPr="009C32A8" w:rsidRDefault="00654F7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6187CF2B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shd w:val="clear" w:color="auto" w:fill="auto"/>
            <w:vAlign w:val="center"/>
          </w:tcPr>
          <w:p w14:paraId="53020233" w14:textId="77777777" w:rsidR="00EE3D24" w:rsidRPr="003258D6" w:rsidRDefault="00EE3D24" w:rsidP="003A3766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0f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  <w:vAlign w:val="center"/>
          </w:tcPr>
          <w:p w14:paraId="0F1B3BF7" w14:textId="23E3F12B" w:rsidR="00EE3D24" w:rsidRPr="003258D6" w:rsidRDefault="00EE3D24" w:rsidP="003A3766">
            <w:pPr>
              <w:mirrorIndents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82ED8">
              <w:rPr>
                <w:rFonts w:ascii="Segoe UI" w:hAnsi="Segoe UI" w:cs="Segoe UI"/>
                <w:sz w:val="16"/>
              </w:rPr>
              <w:t>Iscr</w:t>
            </w:r>
            <w:r>
              <w:rPr>
                <w:rFonts w:ascii="Segoe UI" w:hAnsi="Segoe UI" w:cs="Segoe UI"/>
                <w:sz w:val="16"/>
              </w:rPr>
              <w:t xml:space="preserve">itti Regolari ai fini del CSTD, </w:t>
            </w:r>
            <w:r w:rsidRPr="00C82ED8">
              <w:rPr>
                <w:rFonts w:ascii="Segoe UI" w:hAnsi="Segoe UI" w:cs="Segoe UI"/>
                <w:sz w:val="16"/>
              </w:rPr>
              <w:t>immatric</w:t>
            </w:r>
            <w:r>
              <w:rPr>
                <w:rFonts w:ascii="Segoe UI" w:hAnsi="Segoe UI" w:cs="Segoe UI"/>
                <w:sz w:val="16"/>
              </w:rPr>
              <w:t xml:space="preserve">olati puri al CdS in oggetto </w:t>
            </w:r>
            <w:r w:rsidRPr="00901AEB">
              <w:rPr>
                <w:rFonts w:ascii="Segoe UI" w:hAnsi="Segoe UI" w:cs="Segoe UI"/>
                <w:sz w:val="16"/>
              </w:rPr>
              <w:t>(L; LMCU; LM)</w:t>
            </w:r>
          </w:p>
        </w:tc>
        <w:tc>
          <w:tcPr>
            <w:tcW w:w="435" w:type="dxa"/>
            <w:vAlign w:val="center"/>
          </w:tcPr>
          <w:p w14:paraId="22D8399D" w14:textId="440C99B6" w:rsidR="00EE3D24" w:rsidRPr="009C32A8" w:rsidRDefault="00654F7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5C270F6E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615590" w14:paraId="46847AD6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shd w:val="clear" w:color="auto" w:fill="auto"/>
            <w:vAlign w:val="center"/>
          </w:tcPr>
          <w:p w14:paraId="56234C26" w14:textId="0CC3A7FC" w:rsidR="00615590" w:rsidRPr="00994E65" w:rsidRDefault="00EC3FB1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iC00g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  <w:vAlign w:val="center"/>
          </w:tcPr>
          <w:p w14:paraId="232D2805" w14:textId="7508ACB8" w:rsidR="00615590" w:rsidRPr="00C82ED8" w:rsidRDefault="001D6EF2" w:rsidP="003A3766">
            <w:pPr>
              <w:mirrorIndents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L</w:t>
            </w:r>
            <w:r w:rsidR="00EC3FB1" w:rsidRPr="00EC3FB1">
              <w:rPr>
                <w:rFonts w:ascii="Segoe UI" w:hAnsi="Segoe UI" w:cs="Segoe UI"/>
                <w:sz w:val="16"/>
              </w:rPr>
              <w:t>aureati (L; LM; LMCU) entro la durata normale del corso</w:t>
            </w:r>
          </w:p>
        </w:tc>
        <w:tc>
          <w:tcPr>
            <w:tcW w:w="435" w:type="dxa"/>
            <w:vAlign w:val="center"/>
          </w:tcPr>
          <w:p w14:paraId="166515F8" w14:textId="4DD9AD08" w:rsidR="00615590" w:rsidRPr="009C32A8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3F088FE1" w14:textId="77777777" w:rsidR="00615590" w:rsidRPr="009C32A8" w:rsidRDefault="00615590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190FDC" w14:paraId="734D7420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shd w:val="clear" w:color="auto" w:fill="auto"/>
            <w:vAlign w:val="center"/>
          </w:tcPr>
          <w:p w14:paraId="458386B0" w14:textId="3CE7E60A" w:rsidR="00190FDC" w:rsidRPr="00994E65" w:rsidRDefault="00EC3FB1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iC00h</w:t>
            </w:r>
          </w:p>
        </w:tc>
        <w:tc>
          <w:tcPr>
            <w:tcW w:w="3422" w:type="dxa"/>
            <w:tcBorders>
              <w:left w:val="nil"/>
            </w:tcBorders>
            <w:shd w:val="clear" w:color="auto" w:fill="auto"/>
            <w:vAlign w:val="center"/>
          </w:tcPr>
          <w:p w14:paraId="61D2DF75" w14:textId="04476A86" w:rsidR="00190FDC" w:rsidRPr="00C82ED8" w:rsidRDefault="001D6EF2" w:rsidP="003A3766">
            <w:pPr>
              <w:mirrorIndents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L</w:t>
            </w:r>
            <w:r w:rsidR="00FA7430" w:rsidRPr="00FA7430">
              <w:rPr>
                <w:rFonts w:ascii="Segoe UI" w:hAnsi="Segoe UI" w:cs="Segoe UI"/>
                <w:sz w:val="16"/>
              </w:rPr>
              <w:t>aureati (L; LM; LMCU)</w:t>
            </w:r>
          </w:p>
        </w:tc>
        <w:tc>
          <w:tcPr>
            <w:tcW w:w="435" w:type="dxa"/>
            <w:vAlign w:val="center"/>
          </w:tcPr>
          <w:p w14:paraId="71D37D51" w14:textId="763B0673" w:rsidR="00190FDC" w:rsidRPr="009C32A8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597B8941" w14:textId="77777777" w:rsidR="00190FDC" w:rsidRPr="009C32A8" w:rsidRDefault="00190FDC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EE3D24" w14:paraId="1804B78A" w14:textId="77777777" w:rsidTr="008B4B5B">
        <w:trPr>
          <w:trHeight w:val="425"/>
          <w:jc w:val="center"/>
        </w:trPr>
        <w:tc>
          <w:tcPr>
            <w:tcW w:w="5148" w:type="dxa"/>
            <w:gridSpan w:val="4"/>
            <w:shd w:val="clear" w:color="auto" w:fill="3366FF"/>
            <w:vAlign w:val="center"/>
          </w:tcPr>
          <w:p w14:paraId="32238727" w14:textId="77777777" w:rsidR="00EE3D24" w:rsidRPr="003258D6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3258D6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GRUPPO A – INDICATORI RELATIVI ALLA DIDATTICA</w:t>
            </w:r>
          </w:p>
        </w:tc>
      </w:tr>
      <w:tr w:rsidR="00EE3D24" w14:paraId="68BF53D5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0801F0D8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iC01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4D813B6D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CA16B9">
              <w:rPr>
                <w:rFonts w:ascii="Segoe UI" w:hAnsi="Segoe UI" w:cs="Segoe UI"/>
                <w:sz w:val="16"/>
              </w:rPr>
              <w:t xml:space="preserve">Percentuale di studenti iscritti entro la durata normale del CdS che abbiano acquisito almeno 40 CFU </w:t>
            </w:r>
            <w:proofErr w:type="spellStart"/>
            <w:r w:rsidRPr="00CA16B9">
              <w:rPr>
                <w:rFonts w:ascii="Segoe UI" w:hAnsi="Segoe UI" w:cs="Segoe UI"/>
                <w:sz w:val="16"/>
              </w:rPr>
              <w:t>nell’a.s.</w:t>
            </w:r>
            <w:proofErr w:type="spellEnd"/>
          </w:p>
        </w:tc>
        <w:tc>
          <w:tcPr>
            <w:tcW w:w="435" w:type="dxa"/>
            <w:vAlign w:val="center"/>
          </w:tcPr>
          <w:p w14:paraId="71D19DD6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11A10166" w14:textId="24753D0D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4055DB06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0F0011E9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iC02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10BBD0F8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901AEB">
              <w:rPr>
                <w:rFonts w:ascii="Segoe UI" w:hAnsi="Segoe UI" w:cs="Segoe UI"/>
                <w:sz w:val="16"/>
              </w:rPr>
              <w:t>Percentuale di laureati (L; LM; LMCU) entro la durata normale del corso</w:t>
            </w:r>
          </w:p>
        </w:tc>
        <w:tc>
          <w:tcPr>
            <w:tcW w:w="435" w:type="dxa"/>
            <w:vAlign w:val="center"/>
          </w:tcPr>
          <w:p w14:paraId="104C6BD9" w14:textId="65A94487" w:rsidR="00EE3D24" w:rsidRPr="00CB22D2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ED22EAF" w14:textId="6F92A2C6" w:rsidR="00EE3D24" w:rsidRPr="00476CDB" w:rsidRDefault="00476CDB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476CDB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329CAF27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38C03ACA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iC03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419C2768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901AEB">
              <w:rPr>
                <w:rFonts w:ascii="Segoe UI" w:hAnsi="Segoe UI" w:cs="Segoe UI"/>
                <w:sz w:val="16"/>
              </w:rPr>
              <w:t>Percentuale di iscritti al primo anno (L, LMCU) provenienti da altre Regioni</w:t>
            </w:r>
          </w:p>
        </w:tc>
        <w:tc>
          <w:tcPr>
            <w:tcW w:w="435" w:type="dxa"/>
            <w:vAlign w:val="center"/>
          </w:tcPr>
          <w:p w14:paraId="1EA09A53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124D17F4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071539D6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3FF837E5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iC04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30852608" w14:textId="7AA7BA09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7B7FB8">
              <w:rPr>
                <w:rFonts w:ascii="Segoe UI" w:hAnsi="Segoe UI" w:cs="Segoe UI"/>
                <w:sz w:val="16"/>
              </w:rPr>
              <w:t>Percentuale iscritti al primo anno (LM) laureati in altro Ateneo</w:t>
            </w:r>
          </w:p>
        </w:tc>
        <w:tc>
          <w:tcPr>
            <w:tcW w:w="435" w:type="dxa"/>
            <w:vAlign w:val="center"/>
          </w:tcPr>
          <w:p w14:paraId="7F10D293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436B5128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430CB25D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54587319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iC05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6044744D" w14:textId="0F98ED0C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7B7FB8">
              <w:rPr>
                <w:rFonts w:ascii="Segoe UI" w:hAnsi="Segoe UI" w:cs="Segoe UI"/>
                <w:sz w:val="16"/>
              </w:rPr>
              <w:t>Rapporto studenti regolari/docenti (professori a tempo indeterminato, ricercatori a tempo indeterminato, ricercatori di tipo a e tipo b)</w:t>
            </w:r>
          </w:p>
        </w:tc>
        <w:tc>
          <w:tcPr>
            <w:tcW w:w="435" w:type="dxa"/>
            <w:vAlign w:val="center"/>
          </w:tcPr>
          <w:p w14:paraId="3D2E8F3B" w14:textId="7697623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3E399B6E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79BA60DA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592366BC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iC06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3E29290B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7B7FB8">
              <w:rPr>
                <w:rFonts w:ascii="Segoe UI" w:hAnsi="Segoe UI" w:cs="Segoe UI"/>
                <w:sz w:val="16"/>
              </w:rPr>
              <w:t>Percentuale di Laureati occupati a un anno dal Titolo (L) - Laureati che dichiarano di svolgere un’attività lavorativa o di formazione retribuita (es. dottorato con borsa, specializzazione in medicina, ecc.)</w:t>
            </w:r>
          </w:p>
        </w:tc>
        <w:tc>
          <w:tcPr>
            <w:tcW w:w="435" w:type="dxa"/>
            <w:vAlign w:val="center"/>
          </w:tcPr>
          <w:p w14:paraId="4C18504E" w14:textId="4A600D17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5BCD9AD9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6E267253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7E228C38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iC06</w:t>
            </w:r>
            <w:r>
              <w:rPr>
                <w:rFonts w:ascii="Segoe UI" w:hAnsi="Segoe UI" w:cs="Segoe UI"/>
                <w:sz w:val="16"/>
              </w:rPr>
              <w:t>BIS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0E6A3875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7B7FB8">
              <w:rPr>
                <w:rFonts w:ascii="Segoe UI" w:hAnsi="Segoe UI" w:cs="Segoe UI"/>
                <w:sz w:val="16"/>
              </w:rPr>
              <w:t>Percentuale di Laureati occupati a un anno dal Titolo (L) - laureati che dichiarano di svolgere un’attività lavorativa e regolamentata da un contratto, o di svolgere attività di formazione retribuita (es. dottorato con borsa, specializzazione in medicina, ecc.)</w:t>
            </w:r>
          </w:p>
        </w:tc>
        <w:tc>
          <w:tcPr>
            <w:tcW w:w="435" w:type="dxa"/>
            <w:vAlign w:val="center"/>
          </w:tcPr>
          <w:p w14:paraId="1C049A93" w14:textId="79D17175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77AACA79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17CB5ECE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53FCC96C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iC06</w:t>
            </w:r>
            <w:r>
              <w:rPr>
                <w:rFonts w:ascii="Segoe UI" w:hAnsi="Segoe UI" w:cs="Segoe UI"/>
                <w:sz w:val="16"/>
              </w:rPr>
              <w:t>TER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23C80409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7B7FB8">
              <w:rPr>
                <w:rFonts w:ascii="Segoe UI" w:hAnsi="Segoe UI" w:cs="Segoe UI"/>
                <w:sz w:val="16"/>
              </w:rPr>
              <w:t xml:space="preserve">Percentuale di Laureati occupati a un anno dal Titolo (L) – Laureati non impegnati in formazione non retribuita che dichiarano di </w:t>
            </w:r>
            <w:r w:rsidRPr="007B7FB8">
              <w:rPr>
                <w:rFonts w:ascii="Segoe UI" w:hAnsi="Segoe UI" w:cs="Segoe UI"/>
                <w:sz w:val="16"/>
              </w:rPr>
              <w:lastRenderedPageBreak/>
              <w:t>svolgere un’attività lavorativa e regolamentata da un contratto</w:t>
            </w:r>
          </w:p>
        </w:tc>
        <w:tc>
          <w:tcPr>
            <w:tcW w:w="435" w:type="dxa"/>
            <w:vAlign w:val="center"/>
          </w:tcPr>
          <w:p w14:paraId="4B4F91E7" w14:textId="534AFC31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lastRenderedPageBreak/>
              <w:t>X</w:t>
            </w:r>
          </w:p>
        </w:tc>
        <w:tc>
          <w:tcPr>
            <w:tcW w:w="435" w:type="dxa"/>
            <w:vAlign w:val="center"/>
          </w:tcPr>
          <w:p w14:paraId="469D3371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2BB65D77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7000B5C3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lastRenderedPageBreak/>
              <w:t>iC07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6649EB21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A4F85">
              <w:rPr>
                <w:rFonts w:ascii="Segoe UI" w:hAnsi="Segoe UI" w:cs="Segoe UI"/>
                <w:sz w:val="16"/>
              </w:rPr>
              <w:t>Percentuale di Laureati occupati a tre anni dal Titolo (LM; LMCU) - Laureati che dichiarano di svolgere un’attività lavorativa o di formazione retribuita (es. dottorato con borsa, specializzazione in medicina, ecc.)</w:t>
            </w:r>
          </w:p>
        </w:tc>
        <w:tc>
          <w:tcPr>
            <w:tcW w:w="435" w:type="dxa"/>
            <w:vAlign w:val="center"/>
          </w:tcPr>
          <w:p w14:paraId="3CCE4368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4FFCAE45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0026AB94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0E2C7440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7BIS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47B8467C" w14:textId="414E9EC9" w:rsidR="00EE3D24" w:rsidRPr="001D6EF2" w:rsidRDefault="00EE3D24" w:rsidP="0064130D">
            <w:pPr>
              <w:mirrorIndents/>
              <w:rPr>
                <w:rFonts w:ascii="Segoe UI" w:hAnsi="Segoe UI" w:cs="Segoe UI"/>
                <w:sz w:val="16"/>
              </w:rPr>
            </w:pPr>
            <w:r w:rsidRPr="00FA4F85">
              <w:rPr>
                <w:rFonts w:ascii="Segoe UI" w:hAnsi="Segoe UI" w:cs="Segoe UI"/>
                <w:sz w:val="16"/>
              </w:rPr>
              <w:t>Percentuale di Laureati occupati a tre anni dal Titolo (LM; LMCU) - laureati che dichiarano di svolgere un’attività lavorativa e regolamentata da un contratto, o di svolgere attività di formazione retribuita (es. dottorato con borsa, specializzazione in medicina, ecc.)</w:t>
            </w:r>
          </w:p>
        </w:tc>
        <w:tc>
          <w:tcPr>
            <w:tcW w:w="435" w:type="dxa"/>
            <w:vAlign w:val="center"/>
          </w:tcPr>
          <w:p w14:paraId="42CB0495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017BA99D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2603F0B4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66910170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</w:t>
            </w:r>
            <w:r>
              <w:rPr>
                <w:rFonts w:ascii="Segoe UI" w:hAnsi="Segoe UI" w:cs="Segoe UI"/>
                <w:sz w:val="16"/>
              </w:rPr>
              <w:t>7TER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63F125A0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A4F85">
              <w:rPr>
                <w:rFonts w:ascii="Segoe UI" w:hAnsi="Segoe UI" w:cs="Segoe UI"/>
                <w:sz w:val="16"/>
              </w:rPr>
              <w:t>Percentuale di Laureati occupati a tre anni dal Titolo (LM; LMCU) - Laureati non impegnati in formazione non retribuita che dichiarano di svolgere un’attività lavorativa e regolamentata da un contratto</w:t>
            </w:r>
          </w:p>
        </w:tc>
        <w:tc>
          <w:tcPr>
            <w:tcW w:w="435" w:type="dxa"/>
            <w:vAlign w:val="center"/>
          </w:tcPr>
          <w:p w14:paraId="353D49D6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0B466100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3BE1DDD7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0035E99C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iC08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2F4FAC56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A4F85">
              <w:rPr>
                <w:rFonts w:ascii="Segoe UI" w:hAnsi="Segoe UI" w:cs="Segoe UI"/>
                <w:sz w:val="16"/>
              </w:rPr>
              <w:t>Percentuale dei docenti di ruolo che appartengono a settori scientifico-disciplinari (SSD) di base e caratterizzanti per corso di studio (L; LMCU; LM), di cui sono docenti di riferimento</w:t>
            </w:r>
          </w:p>
        </w:tc>
        <w:tc>
          <w:tcPr>
            <w:tcW w:w="435" w:type="dxa"/>
            <w:vAlign w:val="center"/>
          </w:tcPr>
          <w:p w14:paraId="1E932E98" w14:textId="20701A05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0F6F4CCC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751EE38C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63084FA1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iC09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50E3BB1D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Valori dell'indicatore di Qualità della ricerca dei docenti per le lauree magistrali (QRDLM) (valore di riferimento: 0,8)</w:t>
            </w:r>
          </w:p>
        </w:tc>
        <w:tc>
          <w:tcPr>
            <w:tcW w:w="435" w:type="dxa"/>
            <w:vAlign w:val="center"/>
          </w:tcPr>
          <w:p w14:paraId="4B8E2964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27D6C3B6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200532A2" w14:textId="77777777" w:rsidTr="008B4B5B">
        <w:trPr>
          <w:trHeight w:val="425"/>
          <w:jc w:val="center"/>
        </w:trPr>
        <w:tc>
          <w:tcPr>
            <w:tcW w:w="5148" w:type="dxa"/>
            <w:gridSpan w:val="4"/>
            <w:shd w:val="clear" w:color="auto" w:fill="3366FF"/>
            <w:vAlign w:val="center"/>
          </w:tcPr>
          <w:p w14:paraId="3D0C682C" w14:textId="77777777" w:rsidR="00EE3D24" w:rsidRPr="00CA16B9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</w:rPr>
            </w:pPr>
            <w:r w:rsidRPr="00CA16B9">
              <w:rPr>
                <w:rFonts w:ascii="Segoe UI" w:hAnsi="Segoe UI" w:cs="Segoe UI"/>
                <w:b/>
                <w:color w:val="FFFFFF" w:themeColor="background1"/>
                <w:sz w:val="16"/>
              </w:rPr>
              <w:t>GRUPPO B – INDICATORI DI INTERNAZIONALIZZAZIONE</w:t>
            </w:r>
          </w:p>
        </w:tc>
      </w:tr>
      <w:tr w:rsidR="00EE3D24" w14:paraId="162CD2A0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027431BE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94E65">
              <w:rPr>
                <w:rFonts w:ascii="Segoe UI" w:hAnsi="Segoe UI" w:cs="Segoe UI"/>
                <w:sz w:val="16"/>
              </w:rPr>
              <w:t>iC10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3EA5050A" w14:textId="78CAAFE9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CFU conseguiti all'estero dagli studenti regolari sul totale dei CFU conseguiti dagli studenti entro la durata normale del corso</w:t>
            </w:r>
          </w:p>
        </w:tc>
        <w:tc>
          <w:tcPr>
            <w:tcW w:w="435" w:type="dxa"/>
            <w:vAlign w:val="center"/>
          </w:tcPr>
          <w:p w14:paraId="5BBF2142" w14:textId="4D6F715B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4E6BBC8A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05945A49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50990B75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iC11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1A595E59" w14:textId="1F2BE31F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laureati (L; LM; LMCU) entro la durata normale del corso che hanno acquisito almeno 12 CFU all’estero</w:t>
            </w:r>
          </w:p>
        </w:tc>
        <w:tc>
          <w:tcPr>
            <w:tcW w:w="435" w:type="dxa"/>
            <w:vAlign w:val="center"/>
          </w:tcPr>
          <w:p w14:paraId="718543D0" w14:textId="0165530A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20876758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63DD97C2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275868A7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iC12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05B3A91C" w14:textId="12CB7396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iscritti al primo anno del corso di laurea (L) e laurea magistrale (LM; LMCU) che hanno conseguito il precedente titolo di studio all’estero</w:t>
            </w:r>
          </w:p>
        </w:tc>
        <w:tc>
          <w:tcPr>
            <w:tcW w:w="435" w:type="dxa"/>
            <w:vAlign w:val="center"/>
          </w:tcPr>
          <w:p w14:paraId="586B53DD" w14:textId="1BAA4CDF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287D2412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61FC849B" w14:textId="77777777" w:rsidTr="008B4B5B">
        <w:trPr>
          <w:trHeight w:val="425"/>
          <w:jc w:val="center"/>
        </w:trPr>
        <w:tc>
          <w:tcPr>
            <w:tcW w:w="5148" w:type="dxa"/>
            <w:gridSpan w:val="4"/>
            <w:shd w:val="clear" w:color="auto" w:fill="3366FF"/>
            <w:vAlign w:val="center"/>
          </w:tcPr>
          <w:p w14:paraId="4713E9C8" w14:textId="77777777" w:rsidR="00EE3D24" w:rsidRPr="00CA16B9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A16B9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GRUPPO E – ULTERIORI INDICATORI PER LA VALUTAZIONE DELLA DIDATTICA</w:t>
            </w:r>
          </w:p>
        </w:tc>
      </w:tr>
      <w:tr w:rsidR="00EE3D24" w14:paraId="71119634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2F781E2E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iC13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2E2A8575" w14:textId="523DBAC9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CFU conseguiti al I anno su CFU da conseguire</w:t>
            </w:r>
          </w:p>
        </w:tc>
        <w:tc>
          <w:tcPr>
            <w:tcW w:w="435" w:type="dxa"/>
            <w:vAlign w:val="center"/>
          </w:tcPr>
          <w:p w14:paraId="304E9C91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2D92FF4" w14:textId="06F029FF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3B1FB300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4ABC3EAD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iC14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32BD615E" w14:textId="71C1A5F8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che proseguono nel II anno nello stesso corso di studio</w:t>
            </w:r>
          </w:p>
        </w:tc>
        <w:tc>
          <w:tcPr>
            <w:tcW w:w="435" w:type="dxa"/>
            <w:vAlign w:val="center"/>
          </w:tcPr>
          <w:p w14:paraId="264D29EB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794DDCE2" w14:textId="0E84F376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4D243F50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4A22EC3A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iC15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38CD561F" w14:textId="46A7BCFB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che proseguono al II anno nello stesso corso di studio avendo acquisito almeno 20 CFU al I anno</w:t>
            </w:r>
          </w:p>
        </w:tc>
        <w:tc>
          <w:tcPr>
            <w:tcW w:w="435" w:type="dxa"/>
            <w:vAlign w:val="center"/>
          </w:tcPr>
          <w:p w14:paraId="386DB010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308369E" w14:textId="7AFA11B0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0E198617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029DB9D5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iC15BIS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77EEC4B7" w14:textId="77C618F4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che proseguono al II anno nello stesso corso di studio avendo acquisito almeno 1/3 dei CFU previsti al I anno</w:t>
            </w:r>
          </w:p>
        </w:tc>
        <w:tc>
          <w:tcPr>
            <w:tcW w:w="435" w:type="dxa"/>
            <w:vAlign w:val="center"/>
          </w:tcPr>
          <w:p w14:paraId="1DFDA45C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26971BFD" w14:textId="65797A29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65CBA590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0439D748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iC16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3A049E1A" w14:textId="0687FDFC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che proseguono al II anno nello stesso corso di studio avendo acquisito almeno 40 CFU al I anno</w:t>
            </w:r>
          </w:p>
        </w:tc>
        <w:tc>
          <w:tcPr>
            <w:tcW w:w="435" w:type="dxa"/>
            <w:vAlign w:val="center"/>
          </w:tcPr>
          <w:p w14:paraId="5E322715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45123016" w14:textId="6A2A83BC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6C8CB94A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509B82E4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iC16BIS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78F94F26" w14:textId="0323AB1F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 xml:space="preserve">Percentuale di studenti che proseguono al II anno nello stesso corso di studio avendo </w:t>
            </w:r>
            <w:r w:rsidRPr="00FD3612">
              <w:rPr>
                <w:rFonts w:ascii="Segoe UI" w:hAnsi="Segoe UI" w:cs="Segoe UI"/>
                <w:sz w:val="16"/>
              </w:rPr>
              <w:lastRenderedPageBreak/>
              <w:t>acquisito almeno 2/3 dei CFU previsti al I anno</w:t>
            </w:r>
          </w:p>
        </w:tc>
        <w:tc>
          <w:tcPr>
            <w:tcW w:w="435" w:type="dxa"/>
            <w:vAlign w:val="center"/>
          </w:tcPr>
          <w:p w14:paraId="0F5E5B58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31E3003C" w14:textId="6ED55EF0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25B02BE5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6DAD2E43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lastRenderedPageBreak/>
              <w:t>iC17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27D4AD36" w14:textId="7DF19E15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immatricolati (L; LM; LMCU) che si laureano entro un anno oltre la durata normale del corso nello stesso corso di studio</w:t>
            </w:r>
          </w:p>
        </w:tc>
        <w:tc>
          <w:tcPr>
            <w:tcW w:w="435" w:type="dxa"/>
            <w:vAlign w:val="center"/>
          </w:tcPr>
          <w:p w14:paraId="2505C79C" w14:textId="3A535AFD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69C78117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6E56A2D0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7290B02D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iC18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33C3B332" w14:textId="77777777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laureati che si iscriverebbero di nuovo allo stesso corso di studio</w:t>
            </w:r>
          </w:p>
        </w:tc>
        <w:tc>
          <w:tcPr>
            <w:tcW w:w="435" w:type="dxa"/>
            <w:vAlign w:val="center"/>
          </w:tcPr>
          <w:p w14:paraId="75BE60F3" w14:textId="57638E7F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239A37AD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119537A3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0CB103E5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iC19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7DEF2541" w14:textId="77777777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ore di docenza erogata da docenti assunti a tempo indeterminato sul totale delle ore di docenza erogata</w:t>
            </w:r>
          </w:p>
        </w:tc>
        <w:tc>
          <w:tcPr>
            <w:tcW w:w="435" w:type="dxa"/>
            <w:vAlign w:val="center"/>
          </w:tcPr>
          <w:p w14:paraId="5A75303D" w14:textId="68CFD5E2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5CC8774A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58D5B958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24843551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iC20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7EFE3ABD" w14:textId="77777777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tutor/studenti iscritti (per i corsi di studio prevalentemente o integralmente a distanza)</w:t>
            </w:r>
          </w:p>
        </w:tc>
        <w:tc>
          <w:tcPr>
            <w:tcW w:w="435" w:type="dxa"/>
            <w:vAlign w:val="center"/>
          </w:tcPr>
          <w:p w14:paraId="7A206E73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493A337A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6179FB72" w14:textId="77777777" w:rsidTr="008B4B5B">
        <w:trPr>
          <w:trHeight w:val="425"/>
          <w:jc w:val="center"/>
        </w:trPr>
        <w:tc>
          <w:tcPr>
            <w:tcW w:w="5148" w:type="dxa"/>
            <w:gridSpan w:val="4"/>
            <w:shd w:val="clear" w:color="auto" w:fill="3366FF"/>
            <w:vAlign w:val="center"/>
          </w:tcPr>
          <w:p w14:paraId="1A343FA2" w14:textId="77777777" w:rsidR="00EE3D24" w:rsidRPr="00CA16B9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A16B9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INDICATORI DI APPROFONDIMENTO PER LA SPERIMENTAZIONE – PERCORSO DI STUDIO E REGOLARITÀ DELLE CARRIERE</w:t>
            </w:r>
          </w:p>
        </w:tc>
      </w:tr>
      <w:tr w:rsidR="00EE3D24" w14:paraId="0D649C3D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1FB03D33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iC21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47289FE0" w14:textId="30ECA1F2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studenti che proseguono la carriera nel sistema universitario al II anno</w:t>
            </w:r>
          </w:p>
        </w:tc>
        <w:tc>
          <w:tcPr>
            <w:tcW w:w="435" w:type="dxa"/>
            <w:vAlign w:val="center"/>
          </w:tcPr>
          <w:p w14:paraId="7C8A1FC0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9F0FE9C" w14:textId="0268B12A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</w:tr>
      <w:tr w:rsidR="00EE3D24" w14:paraId="519DD5BD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67CA8369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iC22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5F203646" w14:textId="0CB160C1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immatricolati (L; LM; LMCU) che si laureano, nel CdS, entro la durata normale del corso</w:t>
            </w:r>
          </w:p>
        </w:tc>
        <w:tc>
          <w:tcPr>
            <w:tcW w:w="435" w:type="dxa"/>
            <w:vAlign w:val="center"/>
          </w:tcPr>
          <w:p w14:paraId="71CF012E" w14:textId="2F7478CD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2D6D352D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243D40D3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2F1D9E0F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iC23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1E457C98" w14:textId="52F4BB25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immatricolati (L; LM; LMCU) che proseguono la carriera al secondo anno in un differente CdS dell'Ateneo</w:t>
            </w:r>
          </w:p>
        </w:tc>
        <w:tc>
          <w:tcPr>
            <w:tcW w:w="435" w:type="dxa"/>
            <w:vAlign w:val="center"/>
          </w:tcPr>
          <w:p w14:paraId="6AC99035" w14:textId="259FABD0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51AE3BE9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2D3BF3E4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5CEC96B3" w14:textId="77777777" w:rsidR="00EE3D24" w:rsidRPr="00922F7D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 w:rsidRPr="00922F7D">
              <w:rPr>
                <w:rFonts w:ascii="Segoe UI" w:hAnsi="Segoe UI" w:cs="Segoe UI"/>
                <w:sz w:val="16"/>
              </w:rPr>
              <w:t>iC2</w:t>
            </w:r>
            <w:r>
              <w:rPr>
                <w:rFonts w:ascii="Segoe UI" w:hAnsi="Segoe UI" w:cs="Segoe UI"/>
                <w:sz w:val="16"/>
              </w:rPr>
              <w:t>4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7B5E25C5" w14:textId="40F25681" w:rsidR="00EE3D24" w:rsidRPr="00922F7D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abbandoni del CdS dopo N+1 anni</w:t>
            </w:r>
          </w:p>
        </w:tc>
        <w:tc>
          <w:tcPr>
            <w:tcW w:w="435" w:type="dxa"/>
            <w:vAlign w:val="center"/>
          </w:tcPr>
          <w:p w14:paraId="65DBE11D" w14:textId="66BE4887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3F57FAC3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0757874D" w14:textId="77777777" w:rsidTr="008B4B5B">
        <w:trPr>
          <w:trHeight w:val="425"/>
          <w:jc w:val="center"/>
        </w:trPr>
        <w:tc>
          <w:tcPr>
            <w:tcW w:w="5148" w:type="dxa"/>
            <w:gridSpan w:val="4"/>
            <w:shd w:val="clear" w:color="auto" w:fill="3366FF"/>
            <w:vAlign w:val="center"/>
          </w:tcPr>
          <w:p w14:paraId="70083EA1" w14:textId="77777777" w:rsidR="00EE3D24" w:rsidRPr="00CA16B9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A16B9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INDICATORI DI APPROFONDIMENTO PER LA SPERIMENTAZIONE – SODDISFAZIONE E OCCUPABILITÀ</w:t>
            </w:r>
          </w:p>
        </w:tc>
      </w:tr>
      <w:tr w:rsidR="00EE3D24" w14:paraId="45D9C112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43EE3C29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iC25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2586CAA9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FD3612">
              <w:rPr>
                <w:rFonts w:ascii="Segoe UI" w:hAnsi="Segoe UI" w:cs="Segoe UI"/>
                <w:sz w:val="16"/>
              </w:rPr>
              <w:t>Percentuale di laureandi complessivamente soddisfatti del CdS</w:t>
            </w:r>
          </w:p>
        </w:tc>
        <w:tc>
          <w:tcPr>
            <w:tcW w:w="435" w:type="dxa"/>
            <w:vAlign w:val="center"/>
          </w:tcPr>
          <w:p w14:paraId="3F198019" w14:textId="2EA68D5A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50541C98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69DDFEDC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4DD09ED0" w14:textId="77777777" w:rsidR="00EE3D24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iC26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57697225" w14:textId="77777777" w:rsidR="00EE3D24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>Percentuale di Laureati occupati a un anno dal Titolo (LM; LMCU) - Laureati che dichiarano di svolgere un’attività lavorativa o di formazione retribuita (es. dottorato con borsa, specializzazione in medicina, ecc.)</w:t>
            </w:r>
          </w:p>
        </w:tc>
        <w:tc>
          <w:tcPr>
            <w:tcW w:w="435" w:type="dxa"/>
            <w:vAlign w:val="center"/>
          </w:tcPr>
          <w:p w14:paraId="034CD474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357F25E8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2D50484A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04873D01" w14:textId="77777777" w:rsidR="00EE3D24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iC26BIS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533C053C" w14:textId="77777777" w:rsidR="00EE3D24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>Percentuale di Laureati occupati a un anno dal Titolo (LM; LMCU) - laureati che dichiarano di svolgere un’attività lavorativa e regolamentata da un contratto, o di svolgere attività di formazione retribuita (es. dottorato con borsa, specializzazione in medicina, ecc.)</w:t>
            </w:r>
          </w:p>
        </w:tc>
        <w:tc>
          <w:tcPr>
            <w:tcW w:w="435" w:type="dxa"/>
            <w:vAlign w:val="center"/>
          </w:tcPr>
          <w:p w14:paraId="40A1BFA4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1841BF30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571682F3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7BF20D08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iC26TER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0FEAD70F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>Percentuale di Laureati occupati a un anno dal Titolo (LM; LMCU) - Laureati non impegnati in formazione non retribuita che dichiarano di svolgere un’attività lavorativa e regolamentata da un contratto</w:t>
            </w:r>
          </w:p>
        </w:tc>
        <w:tc>
          <w:tcPr>
            <w:tcW w:w="435" w:type="dxa"/>
            <w:vAlign w:val="center"/>
          </w:tcPr>
          <w:p w14:paraId="3F490456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F381F52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4B4A38D3" w14:textId="77777777" w:rsidTr="008B4B5B">
        <w:trPr>
          <w:trHeight w:val="425"/>
          <w:jc w:val="center"/>
        </w:trPr>
        <w:tc>
          <w:tcPr>
            <w:tcW w:w="5148" w:type="dxa"/>
            <w:gridSpan w:val="4"/>
            <w:shd w:val="clear" w:color="auto" w:fill="3366FF"/>
            <w:vAlign w:val="center"/>
          </w:tcPr>
          <w:p w14:paraId="15AA8F5A" w14:textId="77777777" w:rsidR="00EE3D24" w:rsidRPr="003258D6" w:rsidRDefault="00EE3D24" w:rsidP="0064130D">
            <w:pPr>
              <w:mirrorIndents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3258D6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INDICATORI DI APPROFONDIMENTO PER LA SPERIMENTAZIONE – CONSISTENZA E QUALIFICAZIONE DEL CORPO DOCENTE</w:t>
            </w:r>
          </w:p>
        </w:tc>
      </w:tr>
      <w:tr w:rsidR="00EE3D24" w14:paraId="2EB9307C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7972DB47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iC27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465330D3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>Rapporto studenti iscritti/docenti complessivo (pesato per le ore di docenza)</w:t>
            </w:r>
          </w:p>
        </w:tc>
        <w:tc>
          <w:tcPr>
            <w:tcW w:w="435" w:type="dxa"/>
            <w:vAlign w:val="center"/>
          </w:tcPr>
          <w:p w14:paraId="0084D637" w14:textId="48178938" w:rsidR="00EE3D24" w:rsidRPr="00CB22D2" w:rsidRDefault="00CB22D2" w:rsidP="0064130D">
            <w:pPr>
              <w:mirrorIndents/>
              <w:jc w:val="center"/>
              <w:rPr>
                <w:rFonts w:ascii="Segoe UI" w:hAnsi="Segoe UI" w:cs="Segoe UI"/>
                <w:b/>
                <w:sz w:val="24"/>
              </w:rPr>
            </w:pPr>
            <w:r w:rsidRPr="00CB22D2">
              <w:rPr>
                <w:rFonts w:ascii="Segoe UI" w:hAnsi="Segoe UI" w:cs="Segoe UI"/>
                <w:b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14:paraId="031A9B01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4F93B555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1185D017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iC28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558CAEAD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>Rapporto studenti iscritti al primo anno/docenti degli insegnamenti del primo anno (pesato per le ore di docenza)</w:t>
            </w:r>
          </w:p>
        </w:tc>
        <w:tc>
          <w:tcPr>
            <w:tcW w:w="435" w:type="dxa"/>
            <w:vAlign w:val="center"/>
          </w:tcPr>
          <w:p w14:paraId="1115FA68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13341198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EE3D24" w14:paraId="6505F4F1" w14:textId="77777777" w:rsidTr="008B4B5B">
        <w:trPr>
          <w:trHeight w:val="425"/>
          <w:jc w:val="center"/>
        </w:trPr>
        <w:tc>
          <w:tcPr>
            <w:tcW w:w="856" w:type="dxa"/>
            <w:tcBorders>
              <w:right w:val="nil"/>
            </w:tcBorders>
            <w:vAlign w:val="center"/>
          </w:tcPr>
          <w:p w14:paraId="70A051CC" w14:textId="77777777" w:rsidR="00EE3D24" w:rsidRPr="00994E65" w:rsidRDefault="00EE3D24" w:rsidP="003A3766">
            <w:pPr>
              <w:mirrorIndents/>
              <w:jc w:val="center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iC29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516EE9BB" w14:textId="77777777" w:rsidR="00EE3D24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 xml:space="preserve">Rapporto tutor in possesso di </w:t>
            </w:r>
            <w:r>
              <w:rPr>
                <w:rFonts w:ascii="Segoe UI" w:hAnsi="Segoe UI" w:cs="Segoe UI"/>
                <w:sz w:val="16"/>
              </w:rPr>
              <w:t>Dottorato di Ricerca / Iscritti</w:t>
            </w:r>
          </w:p>
          <w:p w14:paraId="2709970F" w14:textId="77777777" w:rsidR="00EE3D24" w:rsidRPr="00994E65" w:rsidRDefault="00EE3D24" w:rsidP="003A3766">
            <w:pPr>
              <w:mirrorIndents/>
              <w:rPr>
                <w:rFonts w:ascii="Segoe UI" w:hAnsi="Segoe UI" w:cs="Segoe UI"/>
                <w:sz w:val="16"/>
              </w:rPr>
            </w:pPr>
            <w:r w:rsidRPr="00E90194">
              <w:rPr>
                <w:rFonts w:ascii="Segoe UI" w:hAnsi="Segoe UI" w:cs="Segoe UI"/>
                <w:sz w:val="16"/>
              </w:rPr>
              <w:t>(per i corsi di studio prevalentemente o integralmente a distanza)</w:t>
            </w:r>
          </w:p>
        </w:tc>
        <w:tc>
          <w:tcPr>
            <w:tcW w:w="435" w:type="dxa"/>
            <w:vAlign w:val="center"/>
          </w:tcPr>
          <w:p w14:paraId="35F4D20C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0C2AE7A9" w14:textId="77777777" w:rsidR="00EE3D24" w:rsidRPr="009C32A8" w:rsidRDefault="00EE3D24" w:rsidP="0064130D">
            <w:pPr>
              <w:mirrorIndents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14:paraId="3092A462" w14:textId="77777777" w:rsidR="00A26C62" w:rsidRDefault="00A26C62" w:rsidP="00E0358A">
      <w:pPr>
        <w:mirrorIndents/>
      </w:pPr>
    </w:p>
    <w:sectPr w:rsidR="00A26C62" w:rsidSect="005A75EF">
      <w:footerReference w:type="default" r:id="rId11"/>
      <w:pgSz w:w="11906" w:h="16838"/>
      <w:pgMar w:top="1418" w:right="1134" w:bottom="1134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274E9" w14:textId="77777777" w:rsidR="00C73AB1" w:rsidRDefault="00C73AB1" w:rsidP="00EE3D24">
      <w:pPr>
        <w:spacing w:after="0" w:line="240" w:lineRule="auto"/>
      </w:pPr>
      <w:r>
        <w:separator/>
      </w:r>
    </w:p>
  </w:endnote>
  <w:endnote w:type="continuationSeparator" w:id="0">
    <w:p w14:paraId="509AB6FF" w14:textId="77777777" w:rsidR="00C73AB1" w:rsidRDefault="00C73AB1" w:rsidP="00EE3D24">
      <w:pPr>
        <w:spacing w:after="0" w:line="240" w:lineRule="auto"/>
      </w:pPr>
      <w:r>
        <w:continuationSeparator/>
      </w:r>
    </w:p>
  </w:endnote>
  <w:endnote w:type="continuationNotice" w:id="1">
    <w:p w14:paraId="5C1F58C9" w14:textId="77777777" w:rsidR="00C73AB1" w:rsidRDefault="00C73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70545" w14:textId="26FB3AE0" w:rsidR="00864F3A" w:rsidRDefault="00864F3A" w:rsidP="003E26F0">
    <w:pPr>
      <w:pStyle w:val="Pidipagina"/>
      <w:jc w:val="center"/>
    </w:pPr>
    <w:r>
      <w:t>MODELLO DI RIEPILOGO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631B8">
      <w:rPr>
        <w:b/>
        <w:bCs/>
        <w:noProof/>
      </w:rPr>
      <w:t>7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631B8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ABD7B" w14:textId="77777777" w:rsidR="00C73AB1" w:rsidRDefault="00C73AB1" w:rsidP="00EE3D24">
      <w:pPr>
        <w:spacing w:after="0" w:line="240" w:lineRule="auto"/>
      </w:pPr>
      <w:r>
        <w:separator/>
      </w:r>
    </w:p>
  </w:footnote>
  <w:footnote w:type="continuationSeparator" w:id="0">
    <w:p w14:paraId="14182190" w14:textId="77777777" w:rsidR="00C73AB1" w:rsidRDefault="00C73AB1" w:rsidP="00EE3D24">
      <w:pPr>
        <w:spacing w:after="0" w:line="240" w:lineRule="auto"/>
      </w:pPr>
      <w:r>
        <w:continuationSeparator/>
      </w:r>
    </w:p>
  </w:footnote>
  <w:footnote w:type="continuationNotice" w:id="1">
    <w:p w14:paraId="47184148" w14:textId="77777777" w:rsidR="00C73AB1" w:rsidRDefault="00C73A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DA"/>
    <w:rsid w:val="000153EE"/>
    <w:rsid w:val="00023DC5"/>
    <w:rsid w:val="00035EE7"/>
    <w:rsid w:val="0004131D"/>
    <w:rsid w:val="00044895"/>
    <w:rsid w:val="00054150"/>
    <w:rsid w:val="000541EB"/>
    <w:rsid w:val="00056C97"/>
    <w:rsid w:val="000621CA"/>
    <w:rsid w:val="00067682"/>
    <w:rsid w:val="000678F4"/>
    <w:rsid w:val="00071881"/>
    <w:rsid w:val="00075F4E"/>
    <w:rsid w:val="0009175E"/>
    <w:rsid w:val="00097CAB"/>
    <w:rsid w:val="000C0669"/>
    <w:rsid w:val="000C1DFA"/>
    <w:rsid w:val="000C4609"/>
    <w:rsid w:val="000C6057"/>
    <w:rsid w:val="000C6161"/>
    <w:rsid w:val="000C77FE"/>
    <w:rsid w:val="000D1C59"/>
    <w:rsid w:val="000D4CC5"/>
    <w:rsid w:val="000D5368"/>
    <w:rsid w:val="000E5A9C"/>
    <w:rsid w:val="000F2451"/>
    <w:rsid w:val="00106037"/>
    <w:rsid w:val="00121CED"/>
    <w:rsid w:val="00122884"/>
    <w:rsid w:val="00122F6D"/>
    <w:rsid w:val="00124A99"/>
    <w:rsid w:val="0012519E"/>
    <w:rsid w:val="0012678D"/>
    <w:rsid w:val="00135812"/>
    <w:rsid w:val="0014772C"/>
    <w:rsid w:val="00154BD6"/>
    <w:rsid w:val="001620B0"/>
    <w:rsid w:val="00163EA9"/>
    <w:rsid w:val="001731F4"/>
    <w:rsid w:val="001734FF"/>
    <w:rsid w:val="00190FDC"/>
    <w:rsid w:val="00192844"/>
    <w:rsid w:val="001945D2"/>
    <w:rsid w:val="001A102C"/>
    <w:rsid w:val="001A1DC3"/>
    <w:rsid w:val="001A1DD6"/>
    <w:rsid w:val="001C1D68"/>
    <w:rsid w:val="001C3460"/>
    <w:rsid w:val="001C39C8"/>
    <w:rsid w:val="001C4978"/>
    <w:rsid w:val="001D40AB"/>
    <w:rsid w:val="001D6EF2"/>
    <w:rsid w:val="001E795B"/>
    <w:rsid w:val="001F4129"/>
    <w:rsid w:val="00200AEB"/>
    <w:rsid w:val="00204F74"/>
    <w:rsid w:val="00207A4A"/>
    <w:rsid w:val="002200DF"/>
    <w:rsid w:val="002336EB"/>
    <w:rsid w:val="00242284"/>
    <w:rsid w:val="00246663"/>
    <w:rsid w:val="00265285"/>
    <w:rsid w:val="002756CB"/>
    <w:rsid w:val="00275E48"/>
    <w:rsid w:val="0027720C"/>
    <w:rsid w:val="00282D04"/>
    <w:rsid w:val="00295559"/>
    <w:rsid w:val="002A2790"/>
    <w:rsid w:val="002A3ABE"/>
    <w:rsid w:val="002A6CB9"/>
    <w:rsid w:val="002B1D6B"/>
    <w:rsid w:val="002B2095"/>
    <w:rsid w:val="002B7566"/>
    <w:rsid w:val="002C0BB2"/>
    <w:rsid w:val="002D7493"/>
    <w:rsid w:val="002E660D"/>
    <w:rsid w:val="002E7CD2"/>
    <w:rsid w:val="002F6578"/>
    <w:rsid w:val="00301B88"/>
    <w:rsid w:val="003047BD"/>
    <w:rsid w:val="003258D6"/>
    <w:rsid w:val="0033332F"/>
    <w:rsid w:val="0033655B"/>
    <w:rsid w:val="003379B9"/>
    <w:rsid w:val="00341698"/>
    <w:rsid w:val="003461B8"/>
    <w:rsid w:val="00346641"/>
    <w:rsid w:val="00373F76"/>
    <w:rsid w:val="00383B83"/>
    <w:rsid w:val="003A1D9F"/>
    <w:rsid w:val="003A3766"/>
    <w:rsid w:val="003A55B8"/>
    <w:rsid w:val="003A561D"/>
    <w:rsid w:val="003B0D22"/>
    <w:rsid w:val="003B58C6"/>
    <w:rsid w:val="003B5AA4"/>
    <w:rsid w:val="003C00E7"/>
    <w:rsid w:val="003C3C5D"/>
    <w:rsid w:val="003C3F3D"/>
    <w:rsid w:val="003C7ED6"/>
    <w:rsid w:val="003D0E30"/>
    <w:rsid w:val="003E26F0"/>
    <w:rsid w:val="003F28CA"/>
    <w:rsid w:val="004040DB"/>
    <w:rsid w:val="00412323"/>
    <w:rsid w:val="0041391E"/>
    <w:rsid w:val="00421E19"/>
    <w:rsid w:val="00425F7E"/>
    <w:rsid w:val="004331E0"/>
    <w:rsid w:val="00433CBD"/>
    <w:rsid w:val="00433D58"/>
    <w:rsid w:val="004347DE"/>
    <w:rsid w:val="00437695"/>
    <w:rsid w:val="0044242D"/>
    <w:rsid w:val="00457EDF"/>
    <w:rsid w:val="00461061"/>
    <w:rsid w:val="00464134"/>
    <w:rsid w:val="0047278E"/>
    <w:rsid w:val="00476C28"/>
    <w:rsid w:val="00476CDB"/>
    <w:rsid w:val="00477ECE"/>
    <w:rsid w:val="00480D5E"/>
    <w:rsid w:val="004816D4"/>
    <w:rsid w:val="00482FC4"/>
    <w:rsid w:val="004848B4"/>
    <w:rsid w:val="00485CA3"/>
    <w:rsid w:val="004A5193"/>
    <w:rsid w:val="004A520F"/>
    <w:rsid w:val="004B16E7"/>
    <w:rsid w:val="004C5475"/>
    <w:rsid w:val="004D44C9"/>
    <w:rsid w:val="004E0F63"/>
    <w:rsid w:val="004E236C"/>
    <w:rsid w:val="004E3C5E"/>
    <w:rsid w:val="004E7C44"/>
    <w:rsid w:val="0051366C"/>
    <w:rsid w:val="00515240"/>
    <w:rsid w:val="00534E69"/>
    <w:rsid w:val="00536304"/>
    <w:rsid w:val="00537BB2"/>
    <w:rsid w:val="00541DD5"/>
    <w:rsid w:val="00561229"/>
    <w:rsid w:val="00563193"/>
    <w:rsid w:val="00563A17"/>
    <w:rsid w:val="00575975"/>
    <w:rsid w:val="005847BB"/>
    <w:rsid w:val="005854DD"/>
    <w:rsid w:val="00586C9E"/>
    <w:rsid w:val="00590EA3"/>
    <w:rsid w:val="005A10FF"/>
    <w:rsid w:val="005A427D"/>
    <w:rsid w:val="005A75EF"/>
    <w:rsid w:val="005B388F"/>
    <w:rsid w:val="005B6F93"/>
    <w:rsid w:val="005C7B4D"/>
    <w:rsid w:val="005D3443"/>
    <w:rsid w:val="005D5F63"/>
    <w:rsid w:val="005D6880"/>
    <w:rsid w:val="005E1951"/>
    <w:rsid w:val="005E40C8"/>
    <w:rsid w:val="00600D94"/>
    <w:rsid w:val="006012A0"/>
    <w:rsid w:val="00602910"/>
    <w:rsid w:val="006078E6"/>
    <w:rsid w:val="006136EB"/>
    <w:rsid w:val="00615590"/>
    <w:rsid w:val="006213E9"/>
    <w:rsid w:val="0062231E"/>
    <w:rsid w:val="0062414E"/>
    <w:rsid w:val="00625FED"/>
    <w:rsid w:val="00627887"/>
    <w:rsid w:val="0064130D"/>
    <w:rsid w:val="00645953"/>
    <w:rsid w:val="00650DCC"/>
    <w:rsid w:val="00653091"/>
    <w:rsid w:val="006531CE"/>
    <w:rsid w:val="00654F74"/>
    <w:rsid w:val="00674160"/>
    <w:rsid w:val="0067796D"/>
    <w:rsid w:val="00677AA6"/>
    <w:rsid w:val="00683DF2"/>
    <w:rsid w:val="006901DF"/>
    <w:rsid w:val="00692E58"/>
    <w:rsid w:val="006A0E1F"/>
    <w:rsid w:val="006A360D"/>
    <w:rsid w:val="006A7047"/>
    <w:rsid w:val="006B36A9"/>
    <w:rsid w:val="006B42B6"/>
    <w:rsid w:val="006B467D"/>
    <w:rsid w:val="006D0BA3"/>
    <w:rsid w:val="006D791D"/>
    <w:rsid w:val="006E314E"/>
    <w:rsid w:val="006E60FB"/>
    <w:rsid w:val="006E70BC"/>
    <w:rsid w:val="006F4966"/>
    <w:rsid w:val="00704261"/>
    <w:rsid w:val="00704613"/>
    <w:rsid w:val="00705437"/>
    <w:rsid w:val="0073056D"/>
    <w:rsid w:val="007325BD"/>
    <w:rsid w:val="007374E5"/>
    <w:rsid w:val="00740D11"/>
    <w:rsid w:val="007418FC"/>
    <w:rsid w:val="00741C00"/>
    <w:rsid w:val="007502C2"/>
    <w:rsid w:val="00757267"/>
    <w:rsid w:val="00757E9B"/>
    <w:rsid w:val="007639BD"/>
    <w:rsid w:val="007651EA"/>
    <w:rsid w:val="00765307"/>
    <w:rsid w:val="00767149"/>
    <w:rsid w:val="00777C5B"/>
    <w:rsid w:val="007919E8"/>
    <w:rsid w:val="0079585D"/>
    <w:rsid w:val="0079600E"/>
    <w:rsid w:val="007B7FB8"/>
    <w:rsid w:val="007C250B"/>
    <w:rsid w:val="007C4563"/>
    <w:rsid w:val="007E2F6E"/>
    <w:rsid w:val="007F70CA"/>
    <w:rsid w:val="008164AD"/>
    <w:rsid w:val="00820C40"/>
    <w:rsid w:val="00821E81"/>
    <w:rsid w:val="00825331"/>
    <w:rsid w:val="00831D5F"/>
    <w:rsid w:val="00832046"/>
    <w:rsid w:val="00832F52"/>
    <w:rsid w:val="00833D8F"/>
    <w:rsid w:val="008348E2"/>
    <w:rsid w:val="00843E3F"/>
    <w:rsid w:val="00846D57"/>
    <w:rsid w:val="0084796C"/>
    <w:rsid w:val="00857297"/>
    <w:rsid w:val="00864F3A"/>
    <w:rsid w:val="0086723E"/>
    <w:rsid w:val="008735E2"/>
    <w:rsid w:val="008759C9"/>
    <w:rsid w:val="00877AEE"/>
    <w:rsid w:val="00882244"/>
    <w:rsid w:val="00882778"/>
    <w:rsid w:val="00883549"/>
    <w:rsid w:val="008B1E98"/>
    <w:rsid w:val="008B4B5B"/>
    <w:rsid w:val="008B5679"/>
    <w:rsid w:val="008C02E6"/>
    <w:rsid w:val="008C33E8"/>
    <w:rsid w:val="008C725C"/>
    <w:rsid w:val="008D3ED0"/>
    <w:rsid w:val="008D5536"/>
    <w:rsid w:val="008D5866"/>
    <w:rsid w:val="008E1B2B"/>
    <w:rsid w:val="008F59EB"/>
    <w:rsid w:val="00901AEB"/>
    <w:rsid w:val="00902A5E"/>
    <w:rsid w:val="00911502"/>
    <w:rsid w:val="00911B11"/>
    <w:rsid w:val="00924EE1"/>
    <w:rsid w:val="0095017B"/>
    <w:rsid w:val="0095124A"/>
    <w:rsid w:val="00955525"/>
    <w:rsid w:val="0096277E"/>
    <w:rsid w:val="009729E7"/>
    <w:rsid w:val="009873EB"/>
    <w:rsid w:val="009A641E"/>
    <w:rsid w:val="009A6954"/>
    <w:rsid w:val="009B12F2"/>
    <w:rsid w:val="009B7706"/>
    <w:rsid w:val="009C32A8"/>
    <w:rsid w:val="009C372D"/>
    <w:rsid w:val="009C5183"/>
    <w:rsid w:val="009C7348"/>
    <w:rsid w:val="009D3C4B"/>
    <w:rsid w:val="009D5BD8"/>
    <w:rsid w:val="009D635A"/>
    <w:rsid w:val="009E1B79"/>
    <w:rsid w:val="009F06E1"/>
    <w:rsid w:val="00A03565"/>
    <w:rsid w:val="00A04AF8"/>
    <w:rsid w:val="00A07517"/>
    <w:rsid w:val="00A07FBB"/>
    <w:rsid w:val="00A1383D"/>
    <w:rsid w:val="00A26C62"/>
    <w:rsid w:val="00A3186F"/>
    <w:rsid w:val="00A3557C"/>
    <w:rsid w:val="00A508D8"/>
    <w:rsid w:val="00A65179"/>
    <w:rsid w:val="00A7398E"/>
    <w:rsid w:val="00A84AB3"/>
    <w:rsid w:val="00A87E8E"/>
    <w:rsid w:val="00A91BC4"/>
    <w:rsid w:val="00AA348B"/>
    <w:rsid w:val="00AB09C9"/>
    <w:rsid w:val="00AB17D7"/>
    <w:rsid w:val="00AB29EF"/>
    <w:rsid w:val="00AB4109"/>
    <w:rsid w:val="00AB7588"/>
    <w:rsid w:val="00AC3A76"/>
    <w:rsid w:val="00AD5726"/>
    <w:rsid w:val="00AE7076"/>
    <w:rsid w:val="00AE7382"/>
    <w:rsid w:val="00AF1285"/>
    <w:rsid w:val="00AF211A"/>
    <w:rsid w:val="00B003B7"/>
    <w:rsid w:val="00B015F8"/>
    <w:rsid w:val="00B02845"/>
    <w:rsid w:val="00B03B0C"/>
    <w:rsid w:val="00B045F0"/>
    <w:rsid w:val="00B06F8E"/>
    <w:rsid w:val="00B07D23"/>
    <w:rsid w:val="00B2155B"/>
    <w:rsid w:val="00B46BFF"/>
    <w:rsid w:val="00B576B2"/>
    <w:rsid w:val="00B641F6"/>
    <w:rsid w:val="00B653CB"/>
    <w:rsid w:val="00B66928"/>
    <w:rsid w:val="00B714B1"/>
    <w:rsid w:val="00B756B9"/>
    <w:rsid w:val="00B80C24"/>
    <w:rsid w:val="00B90C0D"/>
    <w:rsid w:val="00B94D09"/>
    <w:rsid w:val="00B96E14"/>
    <w:rsid w:val="00BA56EA"/>
    <w:rsid w:val="00BB76C0"/>
    <w:rsid w:val="00BC4724"/>
    <w:rsid w:val="00BC672D"/>
    <w:rsid w:val="00BE2AB4"/>
    <w:rsid w:val="00BE2D9A"/>
    <w:rsid w:val="00BE50F3"/>
    <w:rsid w:val="00BF2D2B"/>
    <w:rsid w:val="00C02D14"/>
    <w:rsid w:val="00C249E3"/>
    <w:rsid w:val="00C30E94"/>
    <w:rsid w:val="00C365A4"/>
    <w:rsid w:val="00C36AC3"/>
    <w:rsid w:val="00C405EB"/>
    <w:rsid w:val="00C409F3"/>
    <w:rsid w:val="00C42CF5"/>
    <w:rsid w:val="00C67CE2"/>
    <w:rsid w:val="00C72EAD"/>
    <w:rsid w:val="00C73AB1"/>
    <w:rsid w:val="00C76401"/>
    <w:rsid w:val="00C84D99"/>
    <w:rsid w:val="00CA16B9"/>
    <w:rsid w:val="00CB22D2"/>
    <w:rsid w:val="00CB2A35"/>
    <w:rsid w:val="00CB7881"/>
    <w:rsid w:val="00CC175E"/>
    <w:rsid w:val="00CD0AD0"/>
    <w:rsid w:val="00CE0FAD"/>
    <w:rsid w:val="00CF6ADA"/>
    <w:rsid w:val="00D01292"/>
    <w:rsid w:val="00D044C1"/>
    <w:rsid w:val="00D054D6"/>
    <w:rsid w:val="00D277D9"/>
    <w:rsid w:val="00D35B90"/>
    <w:rsid w:val="00D52ECB"/>
    <w:rsid w:val="00D54BDD"/>
    <w:rsid w:val="00D55F1C"/>
    <w:rsid w:val="00D631B8"/>
    <w:rsid w:val="00D66407"/>
    <w:rsid w:val="00D71954"/>
    <w:rsid w:val="00D83062"/>
    <w:rsid w:val="00D929EE"/>
    <w:rsid w:val="00DA4826"/>
    <w:rsid w:val="00DB3D4D"/>
    <w:rsid w:val="00DC317B"/>
    <w:rsid w:val="00DD1D50"/>
    <w:rsid w:val="00DD3DD4"/>
    <w:rsid w:val="00DD4055"/>
    <w:rsid w:val="00E01482"/>
    <w:rsid w:val="00E0358A"/>
    <w:rsid w:val="00E04393"/>
    <w:rsid w:val="00E0508A"/>
    <w:rsid w:val="00E1686D"/>
    <w:rsid w:val="00E171FD"/>
    <w:rsid w:val="00E26CEA"/>
    <w:rsid w:val="00E410E2"/>
    <w:rsid w:val="00E425EE"/>
    <w:rsid w:val="00E44E68"/>
    <w:rsid w:val="00E45571"/>
    <w:rsid w:val="00E52243"/>
    <w:rsid w:val="00E54DC5"/>
    <w:rsid w:val="00E55441"/>
    <w:rsid w:val="00E57CC2"/>
    <w:rsid w:val="00E70A61"/>
    <w:rsid w:val="00E75E02"/>
    <w:rsid w:val="00E81CE9"/>
    <w:rsid w:val="00E83BEF"/>
    <w:rsid w:val="00E85E8E"/>
    <w:rsid w:val="00E90194"/>
    <w:rsid w:val="00E91441"/>
    <w:rsid w:val="00E96E9F"/>
    <w:rsid w:val="00EA3C7D"/>
    <w:rsid w:val="00EA4FE9"/>
    <w:rsid w:val="00EB3660"/>
    <w:rsid w:val="00EB633D"/>
    <w:rsid w:val="00EC0B21"/>
    <w:rsid w:val="00EC3FB1"/>
    <w:rsid w:val="00EC667D"/>
    <w:rsid w:val="00ED2CFA"/>
    <w:rsid w:val="00EE3D24"/>
    <w:rsid w:val="00EE7333"/>
    <w:rsid w:val="00EF0D8B"/>
    <w:rsid w:val="00EF13CD"/>
    <w:rsid w:val="00EF16FE"/>
    <w:rsid w:val="00F042D6"/>
    <w:rsid w:val="00F20BEB"/>
    <w:rsid w:val="00F431D6"/>
    <w:rsid w:val="00F45010"/>
    <w:rsid w:val="00F517E8"/>
    <w:rsid w:val="00F5456C"/>
    <w:rsid w:val="00F60418"/>
    <w:rsid w:val="00F62FE9"/>
    <w:rsid w:val="00F82D2E"/>
    <w:rsid w:val="00F87EFA"/>
    <w:rsid w:val="00F95E62"/>
    <w:rsid w:val="00FA45D2"/>
    <w:rsid w:val="00FA4F85"/>
    <w:rsid w:val="00FA7430"/>
    <w:rsid w:val="00FB1690"/>
    <w:rsid w:val="00FB7121"/>
    <w:rsid w:val="00FB74CC"/>
    <w:rsid w:val="00FC7871"/>
    <w:rsid w:val="00FC7FB6"/>
    <w:rsid w:val="00FD25C1"/>
    <w:rsid w:val="00FD3612"/>
    <w:rsid w:val="00FF4AAF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38474"/>
  <w15:chartTrackingRefBased/>
  <w15:docId w15:val="{371AF39A-7D04-43CA-B226-0C103145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6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AD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30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E3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D24"/>
  </w:style>
  <w:style w:type="paragraph" w:styleId="Pidipagina">
    <w:name w:val="footer"/>
    <w:basedOn w:val="Normale"/>
    <w:link w:val="PidipaginaCarattere"/>
    <w:uiPriority w:val="99"/>
    <w:unhideWhenUsed/>
    <w:rsid w:val="00EE3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DF49385E2B304D83DAA1555E4056A9" ma:contentTypeVersion="12" ma:contentTypeDescription="Creare un nuovo documento." ma:contentTypeScope="" ma:versionID="c6726b191a80bee2da0e98452afe9cb5">
  <xsd:schema xmlns:xsd="http://www.w3.org/2001/XMLSchema" xmlns:xs="http://www.w3.org/2001/XMLSchema" xmlns:p="http://schemas.microsoft.com/office/2006/metadata/properties" xmlns:ns2="faba10b8-802c-4391-ae17-f97157efe921" xmlns:ns3="11bb244f-4382-4372-a974-9df89fdc27d6" targetNamespace="http://schemas.microsoft.com/office/2006/metadata/properties" ma:root="true" ma:fieldsID="dfae416bcc08a02c374cfe13dc9e2445" ns2:_="" ns3:_="">
    <xsd:import namespace="faba10b8-802c-4391-ae17-f97157efe921"/>
    <xsd:import namespace="11bb244f-4382-4372-a974-9df89fdc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10b8-802c-4391-ae17-f97157efe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244f-4382-4372-a974-9df89fdc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45B5B-20C8-4EB4-A697-46A6E9B6D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10b8-802c-4391-ae17-f97157efe921"/>
    <ds:schemaRef ds:uri="11bb244f-4382-4372-a974-9df89fdc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D09AF-BB1D-42AF-86EC-6220AA69A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4944E9-3BE9-4DD6-A1EE-7EDFBFCAB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Dovico</dc:creator>
  <cp:keywords/>
  <dc:description/>
  <cp:lastModifiedBy>Dipartimento di Giurisprudenza</cp:lastModifiedBy>
  <cp:revision>86</cp:revision>
  <cp:lastPrinted>2018-05-16T07:28:00Z</cp:lastPrinted>
  <dcterms:created xsi:type="dcterms:W3CDTF">2018-05-14T10:55:00Z</dcterms:created>
  <dcterms:modified xsi:type="dcterms:W3CDTF">2020-11-24T16:23:00Z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0x01010045DF49385E2B304D83DAA1555E4056A9</vt:lpwstr>
  </property>
</Properties>
</file>